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0" w:after="0" w:line="240" w:lineRule="auto"/>
        <w:jc w:val="center"/>
      </w:pPr>
      <w:r>
        <w:rPr>
          <w:rFonts w:ascii="Times New Roman" w:hAnsi="Times New Roman"/>
          <w:b/>
          <w:i w:val="0"/>
          <w:sz w:val="24"/>
          <w:u w:val="none"/>
        </w:rPr>
        <w:t>UNITED STATES DISTRICT COURT</w:t>
      </w:r>
    </w:p>
    <w:p>
      <w:pPr>
        <w:keepNext/>
        <w:spacing w:before="0" w:after="0" w:line="240" w:lineRule="auto"/>
        <w:jc w:val="center"/>
      </w:pPr>
      <w:r>
        <w:rPr>
          <w:rFonts w:ascii="Times New Roman" w:hAnsi="Times New Roman"/>
          <w:b/>
          <w:i w:val="0"/>
          <w:sz w:val="24"/>
          <w:u w:val="none"/>
        </w:rPr>
        <w:t>SOUTHERN DISTRICT OF FLORIDA</w:t>
      </w:r>
    </w:p>
    <w:p>
      <w:pPr>
        <w:keepNext/>
        <w:spacing w:before="0" w:after="240" w:line="240" w:lineRule="auto"/>
        <w:jc w:val="center"/>
      </w:pPr>
      <w:r>
        <w:rPr>
          <w:rFonts w:ascii="Times New Roman" w:hAnsi="Times New Roman"/>
          <w:b/>
          <w:i w:val="0"/>
          <w:sz w:val="24"/>
          <w:u w:val="none"/>
        </w:rPr>
        <w:t>MIAMI DIVISION</w:t>
      </w:r>
    </w:p>
    <w:tbl>
      <w:tblPr>
        <w:tblW w:type="auto" w:w="0"/>
        <w:tblLayout w:type="fixed"/>
        <w:tblLook w:firstColumn="1" w:firstRow="1" w:lastColumn="0" w:lastRow="0" w:noHBand="0" w:noVBand="1" w:val="04A0"/>
      </w:tblPr>
      <w:tblGrid>
        <w:gridCol w:w="5040"/>
        <w:gridCol w:w="4320"/>
      </w:tblGrid>
      <w:tr>
        <w:tc>
          <w:tcPr>
            <w:tcW w:type="dxa" w:w="4680"/>
            <w:tcBorders>
              <w:top w:val="nil"/>
              <w:left w:val="nil"/>
              <w:bottom w:val="nil"/>
              <w:right w:val="nil"/>
              <w:insideH w:val="nil"/>
              <w:insideV w:val="nil"/>
            </w:tcBorders>
          </w:tcPr>
          <w:p>
            <w:pPr>
              <w:spacing w:line="240" w:lineRule="auto" w:after="0"/>
            </w:pPr>
            <w:r/>
            <w:r>
              <w:rPr>
                <w:rFonts w:ascii="Times New Roman" w:hAnsi="Times New Roman"/>
                <w:sz w:val="24"/>
              </w:rPr>
              <w:t>HARBOR CAPITAL PARTNERS, LLC,</w:t>
            </w:r>
          </w:p>
          <w:p>
            <w:pPr>
              <w:spacing w:line="240" w:lineRule="auto" w:after="0"/>
            </w:pPr>
            <w:r>
              <w:rPr>
                <w:rFonts w:ascii="Times New Roman" w:hAnsi="Times New Roman"/>
                <w:sz w:val="24"/>
              </w:rPr>
            </w:r>
          </w:p>
          <w:p>
            <w:pPr>
              <w:spacing w:line="240" w:lineRule="auto" w:after="0"/>
            </w:pPr>
            <w:r>
              <w:rPr>
                <w:rFonts w:ascii="Times New Roman" w:hAnsi="Times New Roman"/>
                <w:sz w:val="24"/>
              </w:rPr>
              <w:t xml:space="preserve">                 Plaintiff,</w:t>
            </w:r>
          </w:p>
          <w:p>
            <w:pPr>
              <w:spacing w:line="240" w:lineRule="auto" w:after="0"/>
            </w:pPr>
            <w:r>
              <w:rPr>
                <w:rFonts w:ascii="Times New Roman" w:hAnsi="Times New Roman"/>
                <w:sz w:val="24"/>
              </w:rPr>
            </w:r>
          </w:p>
          <w:p>
            <w:pPr>
              <w:spacing w:line="240" w:lineRule="auto" w:after="0"/>
            </w:pPr>
            <w:r>
              <w:rPr>
                <w:rFonts w:ascii="Times New Roman" w:hAnsi="Times New Roman"/>
                <w:sz w:val="24"/>
              </w:rPr>
              <w:t>v.</w:t>
            </w:r>
          </w:p>
          <w:p>
            <w:pPr>
              <w:spacing w:line="240" w:lineRule="auto" w:after="0"/>
            </w:pPr>
            <w:r>
              <w:rPr>
                <w:rFonts w:ascii="Times New Roman" w:hAnsi="Times New Roman"/>
                <w:sz w:val="24"/>
              </w:rPr>
            </w:r>
          </w:p>
          <w:p>
            <w:pPr>
              <w:spacing w:line="240" w:lineRule="auto" w:after="0"/>
            </w:pPr>
            <w:r>
              <w:rPr>
                <w:rFonts w:ascii="Times New Roman" w:hAnsi="Times New Roman"/>
                <w:sz w:val="24"/>
              </w:rPr>
              <w:t>MERIDIAN ADVISORS, INC., and</w:t>
            </w:r>
          </w:p>
          <w:p>
            <w:pPr>
              <w:spacing w:line="240" w:lineRule="auto" w:after="0"/>
            </w:pPr>
            <w:r>
              <w:rPr>
                <w:rFonts w:ascii="Times New Roman" w:hAnsi="Times New Roman"/>
                <w:sz w:val="24"/>
              </w:rPr>
              <w:t>THOMAS B. ELLISON,</w:t>
            </w:r>
          </w:p>
          <w:p>
            <w:pPr>
              <w:spacing w:line="240" w:lineRule="auto" w:after="0"/>
            </w:pPr>
            <w:r>
              <w:rPr>
                <w:rFonts w:ascii="Times New Roman" w:hAnsi="Times New Roman"/>
                <w:sz w:val="24"/>
              </w:rPr>
            </w:r>
          </w:p>
          <w:p>
            <w:pPr>
              <w:spacing w:line="240" w:lineRule="auto" w:after="0"/>
            </w:pPr>
            <w:r>
              <w:rPr>
                <w:rFonts w:ascii="Times New Roman" w:hAnsi="Times New Roman"/>
                <w:sz w:val="24"/>
              </w:rPr>
              <w:t xml:space="preserve">                 Defendants.</w:t>
            </w:r>
          </w:p>
        </w:tc>
        <w:tc>
          <w:tcPr>
            <w:tcW w:type="dxa" w:w="4680"/>
            <w:tcBorders>
              <w:top w:val="nil"/>
              <w:left w:val="nil"/>
              <w:bottom w:val="nil"/>
              <w:right w:val="nil"/>
              <w:insideH w:val="nil"/>
              <w:insideV w:val="nil"/>
            </w:tcBorders>
          </w:tcPr>
          <w:p>
            <w:pPr>
              <w:spacing w:line="240" w:lineRule="auto" w:after="0"/>
              <w:ind w:left="288"/>
            </w:pPr>
            <w:r/>
            <w:r>
              <w:rPr>
                <w:rFonts w:ascii="Times New Roman" w:hAnsi="Times New Roman"/>
                <w:sz w:val="24"/>
              </w:rPr>
              <w:t>Case No. 1:26-cv-00847-JEM</w:t>
            </w:r>
          </w:p>
          <w:p>
            <w:pPr>
              <w:spacing w:line="240" w:lineRule="auto" w:after="0"/>
              <w:ind w:left="288"/>
            </w:pPr>
            <w:r>
              <w:rPr>
                <w:rFonts w:ascii="Times New Roman" w:hAnsi="Times New Roman"/>
                <w:sz w:val="24"/>
              </w:rPr>
            </w:r>
          </w:p>
          <w:p>
            <w:pPr>
              <w:spacing w:line="240" w:lineRule="auto" w:after="0"/>
              <w:ind w:left="288"/>
            </w:pPr>
            <w:r>
              <w:rPr>
                <w:rFonts w:ascii="Times New Roman" w:hAnsi="Times New Roman"/>
                <w:sz w:val="24"/>
              </w:rPr>
              <w:t>Hon. José E. Martinez</w:t>
            </w:r>
          </w:p>
          <w:p>
            <w:pPr>
              <w:spacing w:line="240" w:lineRule="auto" w:after="0"/>
              <w:ind w:left="288"/>
            </w:pPr>
            <w:r>
              <w:rPr>
                <w:rFonts w:ascii="Times New Roman" w:hAnsi="Times New Roman"/>
                <w:sz w:val="24"/>
              </w:rPr>
            </w:r>
          </w:p>
        </w:tc>
      </w:tr>
    </w:tbl>
    <w:p>
      <w:pPr>
        <w:keepNext w:val="0"/>
        <w:spacing w:before="0" w:after="120" w:line="240" w:lineRule="auto"/>
        <w:pBdr>
          <w:bottom w:val="single" w:sz="6" w:space="1" w:color="000000"/>
        </w:pBdr>
      </w:pPr>
    </w:p>
    <w:p>
      <w:pPr>
        <w:keepNext/>
        <w:spacing w:before="360" w:after="120" w:line="240" w:lineRule="auto"/>
        <w:jc w:val="center"/>
      </w:pPr>
      <w:r>
        <w:rPr>
          <w:rFonts w:ascii="Times New Roman" w:hAnsi="Times New Roman"/>
          <w:b/>
          <w:i w:val="0"/>
          <w:sz w:val="24"/>
          <w:u w:val="single"/>
        </w:rPr>
        <w:t>DEFENDANTS' MOTION TO DISMISS PLAINTIFF'S COMPLAINT</w:t>
      </w:r>
    </w:p>
    <w:p>
      <w:pPr>
        <w:keepNext/>
        <w:spacing w:before="0" w:after="360" w:line="240" w:lineRule="auto"/>
        <w:jc w:val="center"/>
      </w:pPr>
      <w:r>
        <w:rPr>
          <w:rFonts w:ascii="Times New Roman" w:hAnsi="Times New Roman"/>
          <w:b/>
          <w:i w:val="0"/>
          <w:sz w:val="24"/>
          <w:u w:val="single"/>
        </w:rPr>
        <w:t>AND INCORPORATED MEMORANDUM OF LAW</w:t>
      </w:r>
    </w:p>
    <w:p>
      <w:pPr>
        <w:keepNext w:val="0"/>
        <w:spacing w:before="0" w:after="120" w:line="480" w:lineRule="auto"/>
        <w:ind w:firstLine="720"/>
      </w:pPr>
      <w:r>
        <w:rPr>
          <w:rFonts w:ascii="Times New Roman" w:hAnsi="Times New Roman"/>
          <w:b w:val="0"/>
          <w:i w:val="0"/>
          <w:sz w:val="24"/>
          <w:u w:val="none"/>
        </w:rPr>
        <w:t>Defendants Meridian Advisors, Inc. ("Meridian") and Thomas B. Ellison ("Ellison"), pursuant to Federal Rule of Civil Procedure 12(b)(6), respectfully move this Court to dismiss each of the three counts in Plaintiff Harbor Capital Partners, LLC's ("HCP") Complaint. HCP's Complaint fails to plead facts sufficient to state a plausible claim for breach of fiduciary duty, negligence, or unjust enrichment, and its claims are barred in part by Florida's four-year statute of limitations.</w:t>
      </w:r>
    </w:p>
    <w:p>
      <w:pPr>
        <w:keepNext w:val="0"/>
        <w:spacing w:before="0" w:after="120" w:line="480" w:lineRule="auto"/>
        <w:ind w:firstLine="720"/>
      </w:pPr>
      <w:r>
        <w:rPr>
          <w:rFonts w:ascii="Times New Roman" w:hAnsi="Times New Roman"/>
          <w:b w:val="0"/>
          <w:i w:val="0"/>
          <w:sz w:val="24"/>
          <w:u w:val="none"/>
        </w:rPr>
        <w:t>In support, Defendants respectfully state as follows.</w:t>
      </w:r>
    </w:p>
    <w:p>
      <w:pPr>
        <w:keepNext/>
        <w:spacing w:before="360" w:after="120" w:line="240" w:lineRule="auto"/>
        <w:jc w:val="left"/>
      </w:pPr>
      <w:r>
        <w:rPr>
          <w:rFonts w:ascii="Times New Roman" w:hAnsi="Times New Roman"/>
          <w:b/>
          <w:i w:val="0"/>
          <w:sz w:val="24"/>
          <w:u w:val="single"/>
        </w:rPr>
        <w:t>I.  STATEMENT OF ALLEGED FACTS</w:t>
      </w:r>
    </w:p>
    <w:p>
      <w:pPr>
        <w:keepNext w:val="0"/>
        <w:spacing w:before="0" w:after="0" w:line="480" w:lineRule="auto"/>
        <w:ind w:firstLine="720"/>
      </w:pPr>
      <w:r>
        <w:rPr>
          <w:rFonts w:ascii="Times New Roman" w:hAnsi="Times New Roman"/>
          <w:b w:val="0"/>
          <w:i w:val="0"/>
          <w:sz w:val="24"/>
          <w:u w:val="none"/>
        </w:rPr>
        <w:t>HCP alleges that it engaged Meridian as its investment advisor in March 2021 pursuant to a written engagement letter. (Compl. ¶ 12; Compl. Ex. A.) HCP alleges that, on July 15, 2022, Ellison executed a $1.8 million transfer from HCP-managed assets to an entity in which Ellison held an undisclosed 30% interest. (Compl. ¶ 25.) HCP alleges that it suffered damages "in excess of $4,000,000." (Compl. ¶ 44.)</w:t>
      </w:r>
    </w:p>
    <w:p>
      <w:pPr>
        <w:keepNext w:val="0"/>
        <w:spacing w:before="0" w:after="0" w:line="480" w:lineRule="auto"/>
        <w:ind w:firstLine="720"/>
      </w:pPr>
      <w:r>
        <w:rPr>
          <w:rFonts w:ascii="Times New Roman" w:hAnsi="Times New Roman"/>
          <w:b w:val="0"/>
          <w:i w:val="0"/>
          <w:sz w:val="24"/>
          <w:u w:val="none"/>
        </w:rPr>
        <w:t>HCP asserts three claims: breach of fiduciary duty (Count I), negligence (Count II), and unjust enrichment (Count III). The Complaint was filed on March 12, 2026. (See Dkt. No. 1.)</w:t>
      </w:r>
    </w:p>
    <w:p>
      <w:pPr>
        <w:keepNext/>
        <w:spacing w:before="360" w:after="120" w:line="240" w:lineRule="auto"/>
        <w:jc w:val="left"/>
      </w:pPr>
      <w:r>
        <w:rPr>
          <w:rFonts w:ascii="Times New Roman" w:hAnsi="Times New Roman"/>
          <w:b/>
          <w:i w:val="0"/>
          <w:sz w:val="24"/>
          <w:u w:val="single"/>
        </w:rPr>
        <w:t>II.  LEGAL STANDARD</w:t>
      </w:r>
    </w:p>
    <w:p>
      <w:pPr>
        <w:keepNext w:val="0"/>
        <w:spacing w:before="0" w:after="0" w:line="480" w:lineRule="auto"/>
        <w:ind w:firstLine="720"/>
      </w:pPr>
      <w:r>
        <w:rPr>
          <w:rFonts w:ascii="Times New Roman" w:hAnsi="Times New Roman"/>
          <w:b w:val="0"/>
          <w:i w:val="0"/>
          <w:sz w:val="24"/>
          <w:u w:val="none"/>
        </w:rPr>
        <w:t xml:space="preserve">To survive a motion to dismiss under Rule 12(b)(6), a complaint "must contain sufficient factual matter, accepted as true, to state a claim to relief that is plausible on its face." </w:t>
      </w:r>
      <w:r>
        <w:rPr>
          <w:rFonts w:ascii="Times New Roman" w:hAnsi="Times New Roman"/>
          <w:b w:val="0"/>
          <w:i/>
          <w:sz w:val="24"/>
          <w:u w:val="none"/>
        </w:rPr>
        <w:t>Ashcroft v. Iqbal</w:t>
      </w:r>
      <w:r>
        <w:rPr>
          <w:rFonts w:ascii="Times New Roman" w:hAnsi="Times New Roman"/>
          <w:b w:val="0"/>
          <w:i w:val="0"/>
          <w:sz w:val="24"/>
          <w:u w:val="none"/>
        </w:rPr>
        <w:t xml:space="preserve">, 556 U.S. 662, 678 (2009) [VERIFY] (quoting </w:t>
      </w:r>
      <w:r>
        <w:rPr>
          <w:rFonts w:ascii="Times New Roman" w:hAnsi="Times New Roman"/>
          <w:b w:val="0"/>
          <w:i/>
          <w:sz w:val="24"/>
          <w:u w:val="none"/>
        </w:rPr>
        <w:t>Bell Atl. Corp. v. Twombly</w:t>
      </w:r>
      <w:r>
        <w:rPr>
          <w:rFonts w:ascii="Times New Roman" w:hAnsi="Times New Roman"/>
          <w:b w:val="0"/>
          <w:i w:val="0"/>
          <w:sz w:val="24"/>
          <w:u w:val="none"/>
        </w:rPr>
        <w:t xml:space="preserve">, 550 U.S. 544, 570 (2007)) [VERIFY]. Legal conclusions and "[t]hreadbare recitals of the elements of a cause of action, supported by mere conclusory statements," are not entitled to the assumption of truth. </w:t>
      </w:r>
      <w:r>
        <w:rPr>
          <w:rFonts w:ascii="Times New Roman" w:hAnsi="Times New Roman"/>
          <w:b w:val="0"/>
          <w:i/>
          <w:sz w:val="24"/>
          <w:u w:val="none"/>
        </w:rPr>
        <w:t>Iqbal</w:t>
      </w:r>
      <w:r>
        <w:rPr>
          <w:rFonts w:ascii="Times New Roman" w:hAnsi="Times New Roman"/>
          <w:b w:val="0"/>
          <w:i w:val="0"/>
          <w:sz w:val="24"/>
          <w:u w:val="none"/>
        </w:rPr>
        <w:t xml:space="preserve">, 556 U.S. at 678 [VERIFY]. The court must then determine whether the well-pleaded factual allegations "plausibly give rise to an entitlement to relief." </w:t>
      </w:r>
      <w:r>
        <w:rPr>
          <w:rFonts w:ascii="Times New Roman" w:hAnsi="Times New Roman"/>
          <w:b w:val="0"/>
          <w:i/>
          <w:sz w:val="24"/>
          <w:u w:val="none"/>
        </w:rPr>
        <w:t>Id.</w:t>
      </w:r>
      <w:r>
        <w:rPr>
          <w:rFonts w:ascii="Times New Roman" w:hAnsi="Times New Roman"/>
          <w:b w:val="0"/>
          <w:i w:val="0"/>
          <w:sz w:val="24"/>
          <w:u w:val="none"/>
        </w:rPr>
        <w:t xml:space="preserve"> at 679 [VERIFY].</w:t>
      </w:r>
    </w:p>
    <w:p>
      <w:pPr>
        <w:keepNext w:val="0"/>
        <w:spacing w:before="0" w:after="0" w:line="480" w:lineRule="auto"/>
        <w:ind w:firstLine="720"/>
      </w:pPr>
      <w:r>
        <w:rPr>
          <w:rFonts w:ascii="Times New Roman" w:hAnsi="Times New Roman"/>
          <w:b w:val="0"/>
          <w:i w:val="0"/>
          <w:sz w:val="24"/>
          <w:u w:val="none"/>
        </w:rPr>
        <w:t xml:space="preserve">A statute-of-limitations defense may be raised on a Rule 12(b)(6) motion where, as here, the bar is apparent on the face of the complaint. </w:t>
      </w:r>
      <w:r>
        <w:rPr>
          <w:rFonts w:ascii="Times New Roman" w:hAnsi="Times New Roman"/>
          <w:b w:val="0"/>
          <w:i/>
          <w:sz w:val="24"/>
          <w:u w:val="none"/>
        </w:rPr>
        <w:t>See</w:t>
      </w:r>
      <w:r>
        <w:rPr>
          <w:rFonts w:ascii="Times New Roman" w:hAnsi="Times New Roman"/>
          <w:b w:val="0"/>
          <w:i w:val="0"/>
          <w:sz w:val="24"/>
          <w:u w:val="none"/>
        </w:rPr>
        <w:t xml:space="preserve"> [Eleventh Circuit authority] [VERIFY].</w:t>
      </w:r>
    </w:p>
    <w:p>
      <w:pPr>
        <w:keepNext/>
        <w:spacing w:before="360" w:after="120" w:line="240" w:lineRule="auto"/>
        <w:jc w:val="center"/>
      </w:pPr>
      <w:r>
        <w:rPr>
          <w:rFonts w:ascii="Times New Roman" w:hAnsi="Times New Roman"/>
          <w:b/>
          <w:i w:val="0"/>
          <w:sz w:val="24"/>
          <w:u w:val="single"/>
        </w:rPr>
        <w:t>ARGUMENT</w:t>
      </w:r>
    </w:p>
    <w:p>
      <w:pPr>
        <w:keepNext/>
        <w:spacing w:before="240" w:after="120" w:line="240" w:lineRule="auto"/>
        <w:jc w:val="left"/>
      </w:pPr>
      <w:r>
        <w:rPr>
          <w:rFonts w:ascii="Times New Roman" w:hAnsi="Times New Roman"/>
          <w:b/>
          <w:i w:val="0"/>
          <w:sz w:val="22"/>
          <w:u w:val="none"/>
        </w:rPr>
        <w:t>A.  [Standing section omitted; not challenged.]</w:t>
      </w:r>
    </w:p>
    <w:p>
      <w:pPr>
        <w:keepNext w:val="0"/>
        <w:spacing w:before="0" w:after="0" w:line="480" w:lineRule="auto"/>
        <w:ind w:firstLine="720"/>
      </w:pPr>
      <w:r>
        <w:rPr>
          <w:rFonts w:ascii="Times New Roman" w:hAnsi="Times New Roman"/>
          <w:b w:val="0"/>
          <w:i w:val="0"/>
          <w:sz w:val="24"/>
          <w:u w:val="none"/>
        </w:rPr>
        <w:t>Defendants do not challenge HCP's Article III standing on the face of the Complaint. Should the Court identify a standing concern, Defendants reserve the right to raise it under Rule 12(h)(3).</w:t>
      </w:r>
    </w:p>
    <w:p>
      <w:pPr>
        <w:keepNext/>
        <w:spacing w:before="240" w:after="120" w:line="240" w:lineRule="auto"/>
        <w:jc w:val="left"/>
      </w:pPr>
      <w:r>
        <w:rPr>
          <w:rFonts w:ascii="Times New Roman" w:hAnsi="Times New Roman"/>
          <w:b/>
          <w:i w:val="0"/>
          <w:sz w:val="24"/>
          <w:u w:val="single"/>
        </w:rPr>
        <w:t>B.  Plaintiff Fails to State a Claim for Breach of Fiduciary Duty (Count I).</w:t>
      </w:r>
    </w:p>
    <w:p>
      <w:pPr>
        <w:keepNext w:val="0"/>
        <w:spacing w:before="0" w:after="0" w:line="480" w:lineRule="auto"/>
        <w:ind w:firstLine="720"/>
      </w:pPr>
      <w:r>
        <w:rPr>
          <w:rFonts w:ascii="Times New Roman" w:hAnsi="Times New Roman"/>
          <w:b w:val="0"/>
          <w:i w:val="0"/>
          <w:sz w:val="24"/>
          <w:u w:val="none"/>
        </w:rPr>
        <w:t xml:space="preserve">To plead breach of fiduciary duty under Florida law, a plaintiff must allege (1) the existence of a fiduciary relationship, (2) a breach of the fiduciary duty, and (3) damages proximately caused by the breach. </w:t>
      </w:r>
      <w:r>
        <w:rPr>
          <w:rFonts w:ascii="Times New Roman" w:hAnsi="Times New Roman"/>
          <w:b w:val="0"/>
          <w:i/>
          <w:sz w:val="24"/>
          <w:u w:val="none"/>
        </w:rPr>
        <w:t>See</w:t>
      </w:r>
      <w:r>
        <w:rPr>
          <w:rFonts w:ascii="Times New Roman" w:hAnsi="Times New Roman"/>
          <w:b w:val="0"/>
          <w:i w:val="0"/>
          <w:sz w:val="24"/>
          <w:u w:val="none"/>
        </w:rPr>
        <w:t xml:space="preserve"> [controlling Florida Supreme Court authority] [VERIFY]. HCP fails on the first and third.</w:t>
      </w:r>
    </w:p>
    <w:p>
      <w:pPr>
        <w:keepNext/>
        <w:spacing w:before="120" w:after="60" w:line="480" w:lineRule="auto"/>
        <w:ind w:firstLine="720"/>
      </w:pPr>
      <w:r>
        <w:rPr>
          <w:rFonts w:ascii="Times New Roman" w:hAnsi="Times New Roman"/>
          <w:b/>
          <w:i/>
          <w:sz w:val="24"/>
          <w:u w:val="none"/>
        </w:rPr>
        <w:t>1.  HCP Does Not Plausibly Plead a Fiduciary Relationship.</w:t>
      </w:r>
    </w:p>
    <w:p>
      <w:pPr>
        <w:keepNext w:val="0"/>
        <w:spacing w:before="0" w:after="0" w:line="480" w:lineRule="auto"/>
        <w:ind w:firstLine="720"/>
      </w:pPr>
      <w:r>
        <w:rPr>
          <w:rFonts w:ascii="Times New Roman" w:hAnsi="Times New Roman"/>
          <w:b w:val="0"/>
          <w:i w:val="0"/>
          <w:sz w:val="24"/>
          <w:u w:val="none"/>
        </w:rPr>
        <w:t xml:space="preserve">HCP's only factual allegation bearing on the parties' relationship is that it engaged Meridian as "investment advisor" in March 2021 under a written engagement letter. (Compl. ¶ 12; Compl. Ex. A.) The Complaint's assertion that Defendants "owed HCP a fiduciary duty" (Compl. ¶ 13) is a bare legal conclusion the Court must disregard at this stage. </w:t>
      </w:r>
      <w:r>
        <w:rPr>
          <w:rFonts w:ascii="Times New Roman" w:hAnsi="Times New Roman"/>
          <w:b w:val="0"/>
          <w:i/>
          <w:sz w:val="24"/>
          <w:u w:val="none"/>
        </w:rPr>
        <w:t>See Iqbal</w:t>
      </w:r>
      <w:r>
        <w:rPr>
          <w:rFonts w:ascii="Times New Roman" w:hAnsi="Times New Roman"/>
          <w:b w:val="0"/>
          <w:i w:val="0"/>
          <w:sz w:val="24"/>
          <w:u w:val="none"/>
        </w:rPr>
        <w:t>, 556 U.S. at 678–79 [VERIFY].</w:t>
      </w:r>
    </w:p>
    <w:p>
      <w:pPr>
        <w:keepNext w:val="0"/>
        <w:spacing w:before="0" w:after="0" w:line="480" w:lineRule="auto"/>
        <w:ind w:firstLine="720"/>
      </w:pPr>
      <w:r>
        <w:rPr>
          <w:rFonts w:ascii="Times New Roman" w:hAnsi="Times New Roman"/>
          <w:b w:val="0"/>
          <w:i w:val="0"/>
          <w:sz w:val="24"/>
          <w:u w:val="none"/>
        </w:rPr>
        <w:t xml:space="preserve">The engagement of a financial professional under a written contract does not, without more, give rise to a fiduciary relationship under Florida law. </w:t>
      </w:r>
      <w:r>
        <w:rPr>
          <w:rFonts w:ascii="Times New Roman" w:hAnsi="Times New Roman"/>
          <w:b w:val="0"/>
          <w:i/>
          <w:sz w:val="24"/>
          <w:u w:val="none"/>
        </w:rPr>
        <w:t>See</w:t>
      </w:r>
      <w:r>
        <w:rPr>
          <w:rFonts w:ascii="Times New Roman" w:hAnsi="Times New Roman"/>
          <w:b w:val="0"/>
          <w:i w:val="0"/>
          <w:sz w:val="24"/>
          <w:u w:val="none"/>
        </w:rPr>
        <w:t xml:space="preserve"> [Florida DCA authority on fiduciary-relationship elements] [VERIFY]. To plead a fiduciary relationship, HCP must allege facts showing acceptance by Defendants of an undertaking to act for HCP's benefit with respect to a matter in which HCP reposed confidence and placed discretion. HCP pleads no such facts. Its theory depends entirely on labels — "investment advisor" and "fiduciary duty" — and on the conclusory assertion that the relationship was fiduciary.</w:t>
      </w:r>
    </w:p>
    <w:p>
      <w:pPr>
        <w:keepNext/>
        <w:spacing w:before="120" w:after="60" w:line="480" w:lineRule="auto"/>
        <w:ind w:firstLine="720"/>
      </w:pPr>
      <w:r>
        <w:rPr>
          <w:rFonts w:ascii="Times New Roman" w:hAnsi="Times New Roman"/>
          <w:b/>
          <w:i/>
          <w:sz w:val="24"/>
          <w:u w:val="none"/>
        </w:rPr>
        <w:t>2.  HCP Does Not Plausibly Plead Damages Causally Linked to the Alleged Breach.</w:t>
      </w:r>
    </w:p>
    <w:p>
      <w:pPr>
        <w:keepNext w:val="0"/>
        <w:spacing w:before="0" w:after="0" w:line="480" w:lineRule="auto"/>
        <w:ind w:firstLine="720"/>
      </w:pPr>
      <w:r>
        <w:rPr>
          <w:rFonts w:ascii="Times New Roman" w:hAnsi="Times New Roman"/>
          <w:b w:val="0"/>
          <w:i w:val="0"/>
          <w:sz w:val="24"/>
          <w:u w:val="none"/>
        </w:rPr>
        <w:t xml:space="preserve">Paragraph 44 alleges damages "in excess of $4,000,000." (Compl. ¶ 44.) That is the pleader's conclusion, not a factual allegation linking the single alleged wrongful act — the July 2022 transfer (Compl. ¶ 25) — to a measurable quantum of harm. Florida law requires a plaintiff to plead damages with factual specificity sufficient to make the causal link between breach and harm plausible. </w:t>
      </w:r>
      <w:r>
        <w:rPr>
          <w:rFonts w:ascii="Times New Roman" w:hAnsi="Times New Roman"/>
          <w:b w:val="0"/>
          <w:i/>
          <w:sz w:val="24"/>
          <w:u w:val="none"/>
        </w:rPr>
        <w:t>See</w:t>
      </w:r>
      <w:r>
        <w:rPr>
          <w:rFonts w:ascii="Times New Roman" w:hAnsi="Times New Roman"/>
          <w:b w:val="0"/>
          <w:i w:val="0"/>
          <w:sz w:val="24"/>
          <w:u w:val="none"/>
        </w:rPr>
        <w:t xml:space="preserve"> [Florida authority on pleading damages] [VERIFY]. HCP pleads a dollar figure and nothing more. Count I should be dismissed.</w:t>
      </w:r>
    </w:p>
    <w:p>
      <w:pPr>
        <w:keepNext/>
        <w:spacing w:before="240" w:after="120" w:line="240" w:lineRule="auto"/>
        <w:jc w:val="left"/>
      </w:pPr>
      <w:r>
        <w:rPr>
          <w:rFonts w:ascii="Times New Roman" w:hAnsi="Times New Roman"/>
          <w:b/>
          <w:i w:val="0"/>
          <w:sz w:val="24"/>
          <w:u w:val="single"/>
        </w:rPr>
        <w:t>C.  Plaintiff Fails to State a Claim for Negligence (Count II).</w:t>
      </w:r>
    </w:p>
    <w:p>
      <w:pPr>
        <w:keepNext w:val="0"/>
        <w:spacing w:before="0" w:after="0" w:line="480" w:lineRule="auto"/>
        <w:ind w:firstLine="720"/>
      </w:pPr>
      <w:r>
        <w:rPr>
          <w:rFonts w:ascii="Times New Roman" w:hAnsi="Times New Roman"/>
          <w:b w:val="0"/>
          <w:i w:val="0"/>
          <w:sz w:val="24"/>
          <w:u w:val="none"/>
        </w:rPr>
        <w:t xml:space="preserve">Under Florida law, a negligence claim requires (1) a duty of care, (2) breach, (3) causation, and (4) damages. </w:t>
      </w:r>
      <w:r>
        <w:rPr>
          <w:rFonts w:ascii="Times New Roman" w:hAnsi="Times New Roman"/>
          <w:b w:val="0"/>
          <w:i/>
          <w:sz w:val="24"/>
          <w:u w:val="none"/>
        </w:rPr>
        <w:t>See</w:t>
      </w:r>
      <w:r>
        <w:rPr>
          <w:rFonts w:ascii="Times New Roman" w:hAnsi="Times New Roman"/>
          <w:b w:val="0"/>
          <w:i w:val="0"/>
          <w:sz w:val="24"/>
          <w:u w:val="none"/>
        </w:rPr>
        <w:t xml:space="preserve"> [controlling Florida authority] [VERIFY]. HCP fails on duty and fails to plead breach, causation, and damages other than conclusorily.</w:t>
      </w:r>
    </w:p>
    <w:p>
      <w:pPr>
        <w:keepNext/>
        <w:spacing w:before="120" w:after="60" w:line="480" w:lineRule="auto"/>
        <w:ind w:firstLine="720"/>
      </w:pPr>
      <w:r>
        <w:rPr>
          <w:rFonts w:ascii="Times New Roman" w:hAnsi="Times New Roman"/>
          <w:b/>
          <w:i/>
          <w:sz w:val="24"/>
          <w:u w:val="none"/>
        </w:rPr>
        <w:t>1.  HCP Does Not Plead an Independent Tort Duty.</w:t>
      </w:r>
    </w:p>
    <w:p>
      <w:pPr>
        <w:keepNext w:val="0"/>
        <w:spacing w:before="0" w:after="0" w:line="480" w:lineRule="auto"/>
        <w:ind w:firstLine="720"/>
      </w:pPr>
      <w:r>
        <w:rPr>
          <w:rFonts w:ascii="Times New Roman" w:hAnsi="Times New Roman"/>
          <w:b w:val="0"/>
          <w:i w:val="0"/>
          <w:sz w:val="24"/>
          <w:u w:val="none"/>
        </w:rPr>
        <w:t xml:space="preserve">Although the Florida Supreme Court in </w:t>
      </w:r>
      <w:r>
        <w:rPr>
          <w:rFonts w:ascii="Times New Roman" w:hAnsi="Times New Roman"/>
          <w:b w:val="0"/>
          <w:i/>
          <w:sz w:val="24"/>
          <w:u w:val="none"/>
        </w:rPr>
        <w:t>Tiara Condominium Ass'n v. Marsh &amp; McLennan Cos.</w:t>
      </w:r>
      <w:r>
        <w:rPr>
          <w:rFonts w:ascii="Times New Roman" w:hAnsi="Times New Roman"/>
          <w:b w:val="0"/>
          <w:i w:val="0"/>
          <w:sz w:val="24"/>
          <w:u w:val="none"/>
        </w:rPr>
        <w:t xml:space="preserve">, 110 So. 3d 399 (Fla. 2013) [VERIFY], limited the economic-loss rule to products-liability cases, Florida courts continue to require that a negligence claim arising from the performance of a contractual relationship rest on a duty that is independent of the contract itself. </w:t>
      </w:r>
      <w:r>
        <w:rPr>
          <w:rFonts w:ascii="Times New Roman" w:hAnsi="Times New Roman"/>
          <w:b w:val="0"/>
          <w:i/>
          <w:sz w:val="24"/>
          <w:u w:val="none"/>
        </w:rPr>
        <w:t>See</w:t>
      </w:r>
      <w:r>
        <w:rPr>
          <w:rFonts w:ascii="Times New Roman" w:hAnsi="Times New Roman"/>
          <w:b w:val="0"/>
          <w:i w:val="0"/>
          <w:sz w:val="24"/>
          <w:u w:val="none"/>
        </w:rPr>
        <w:t xml:space="preserve"> [post-</w:t>
      </w:r>
      <w:r>
        <w:rPr>
          <w:rFonts w:ascii="Times New Roman" w:hAnsi="Times New Roman"/>
          <w:b w:val="0"/>
          <w:i/>
          <w:sz w:val="24"/>
          <w:u w:val="none"/>
        </w:rPr>
        <w:t>Tiara</w:t>
      </w:r>
      <w:r>
        <w:rPr>
          <w:rFonts w:ascii="Times New Roman" w:hAnsi="Times New Roman"/>
          <w:b w:val="0"/>
          <w:i w:val="0"/>
          <w:sz w:val="24"/>
          <w:u w:val="none"/>
        </w:rPr>
        <w:t xml:space="preserve"> Florida authority on independent tort duty] [VERIFY]. HCP pleads no independent duty. The only duty alleged is the "fiduciary duty" pleaded in ¶ 13 (Compl. ¶ 13) — which is itself derivative of the engagement letter — and the general assertion that Defendants "acted with gross negligence" (Compl. ¶ 28). Neither suffices.</w:t>
      </w:r>
    </w:p>
    <w:p>
      <w:pPr>
        <w:keepNext/>
        <w:spacing w:before="120" w:after="60" w:line="480" w:lineRule="auto"/>
        <w:ind w:firstLine="720"/>
      </w:pPr>
      <w:r>
        <w:rPr>
          <w:rFonts w:ascii="Times New Roman" w:hAnsi="Times New Roman"/>
          <w:b/>
          <w:i/>
          <w:sz w:val="24"/>
          <w:u w:val="none"/>
        </w:rPr>
        <w:t>2.  Breach, Causation, and Damages Are Pleaded Only Conclusorily.</w:t>
      </w:r>
    </w:p>
    <w:p>
      <w:pPr>
        <w:keepNext w:val="0"/>
        <w:spacing w:before="0" w:after="0" w:line="480" w:lineRule="auto"/>
        <w:ind w:firstLine="720"/>
      </w:pPr>
      <w:r>
        <w:rPr>
          <w:rFonts w:ascii="Times New Roman" w:hAnsi="Times New Roman"/>
          <w:b w:val="0"/>
          <w:i w:val="0"/>
          <w:sz w:val="24"/>
          <w:u w:val="none"/>
        </w:rPr>
        <w:t xml:space="preserve">The Complaint's allegations that Defendants "acted with gross negligence" (Compl. ¶ 28), "as a direct and proximate result" caused harm (Compl. ¶ 46), and caused damages (Compl. ¶ 47) are the kind of threadbare recitals </w:t>
      </w:r>
      <w:r>
        <w:rPr>
          <w:rFonts w:ascii="Times New Roman" w:hAnsi="Times New Roman"/>
          <w:b w:val="0"/>
          <w:i/>
          <w:sz w:val="24"/>
          <w:u w:val="none"/>
        </w:rPr>
        <w:t>Iqbal</w:t>
      </w:r>
      <w:r>
        <w:rPr>
          <w:rFonts w:ascii="Times New Roman" w:hAnsi="Times New Roman"/>
          <w:b w:val="0"/>
          <w:i w:val="0"/>
          <w:sz w:val="24"/>
          <w:u w:val="none"/>
        </w:rPr>
        <w:t xml:space="preserve"> directs the Court to disregard. 556 U.S. at 678 [VERIFY]. Stripped of those conclusions, Count II is left with no factual support for breach, causation, or damages beyond the same paragraphs underlying Count I. Count II should be dismissed.</w:t>
      </w:r>
    </w:p>
    <w:p>
      <w:pPr>
        <w:keepNext/>
        <w:spacing w:before="240" w:after="120" w:line="240" w:lineRule="auto"/>
        <w:jc w:val="left"/>
      </w:pPr>
      <w:r>
        <w:rPr>
          <w:rFonts w:ascii="Times New Roman" w:hAnsi="Times New Roman"/>
          <w:b/>
          <w:i w:val="0"/>
          <w:sz w:val="24"/>
          <w:u w:val="single"/>
        </w:rPr>
        <w:t>D.  Plaintiff Fails to State a Claim for Unjust Enrichment (Count III).</w:t>
      </w:r>
    </w:p>
    <w:p>
      <w:pPr>
        <w:keepNext w:val="0"/>
        <w:spacing w:before="0" w:after="0" w:line="480" w:lineRule="auto"/>
        <w:ind w:firstLine="720"/>
      </w:pPr>
      <w:r>
        <w:rPr>
          <w:rFonts w:ascii="Times New Roman" w:hAnsi="Times New Roman"/>
          <w:b w:val="0"/>
          <w:i w:val="0"/>
          <w:sz w:val="24"/>
          <w:u w:val="none"/>
        </w:rPr>
        <w:t xml:space="preserve">Under Florida law, "no cause of action in unjust enrichment can exist . . . where an express contract governs the parties' relationship." </w:t>
      </w:r>
      <w:r>
        <w:rPr>
          <w:rFonts w:ascii="Times New Roman" w:hAnsi="Times New Roman"/>
          <w:b w:val="0"/>
          <w:i/>
          <w:sz w:val="24"/>
          <w:u w:val="none"/>
        </w:rPr>
        <w:t>See</w:t>
      </w:r>
      <w:r>
        <w:rPr>
          <w:rFonts w:ascii="Times New Roman" w:hAnsi="Times New Roman"/>
          <w:b w:val="0"/>
          <w:i w:val="0"/>
          <w:sz w:val="24"/>
          <w:u w:val="none"/>
        </w:rPr>
        <w:t xml:space="preserve"> [controlling Florida authority] [VERIFY]. "Where parties have entered into an express contract, a claim of unjust enrichment concerning the same subject matter fails as a matter of law." </w:t>
      </w:r>
      <w:r>
        <w:rPr>
          <w:rFonts w:ascii="Times New Roman" w:hAnsi="Times New Roman"/>
          <w:b w:val="0"/>
          <w:i/>
          <w:sz w:val="24"/>
          <w:u w:val="none"/>
        </w:rPr>
        <w:t>See</w:t>
      </w:r>
      <w:r>
        <w:rPr>
          <w:rFonts w:ascii="Times New Roman" w:hAnsi="Times New Roman"/>
          <w:b w:val="0"/>
          <w:i w:val="0"/>
          <w:sz w:val="24"/>
          <w:u w:val="none"/>
        </w:rPr>
        <w:t xml:space="preserve"> [same authority] [VERIFY].</w:t>
      </w:r>
    </w:p>
    <w:p>
      <w:pPr>
        <w:keepNext w:val="0"/>
        <w:spacing w:before="0" w:after="0" w:line="480" w:lineRule="auto"/>
        <w:ind w:firstLine="720"/>
      </w:pPr>
      <w:r>
        <w:rPr>
          <w:rFonts w:ascii="Times New Roman" w:hAnsi="Times New Roman"/>
          <w:b w:val="0"/>
          <w:i w:val="0"/>
          <w:sz w:val="24"/>
          <w:u w:val="none"/>
        </w:rPr>
        <w:t>That is precisely what HCP has pleaded. The engagement letter attached as Exhibit A (Compl. Ex. A) governs the relationship between HCP and Meridian and defines the scope of Meridian's obligations. (Compl. ¶ 12.) HCP does not dispute the existence of that contract; it attached the contract. Because an express contract governs the same subject matter — Meridian's provision of investment advisory services to HCP — an equitable claim for the value of those services or the fees paid under them is foreclosed. Count III should be dismissed, with prejudice as to Meridian.</w:t>
      </w:r>
    </w:p>
    <w:p>
      <w:pPr>
        <w:keepNext w:val="0"/>
        <w:spacing w:before="0" w:after="0" w:line="480" w:lineRule="auto"/>
        <w:ind w:firstLine="720"/>
      </w:pPr>
      <w:r>
        <w:rPr>
          <w:rFonts w:ascii="Times New Roman" w:hAnsi="Times New Roman"/>
          <w:b w:val="0"/>
          <w:i w:val="0"/>
          <w:sz w:val="24"/>
          <w:u w:val="none"/>
        </w:rPr>
        <w:t>Although Ellison is not a signatory to the engagement letter, the Complaint does not allege that HCP conferred any benefit directly on Ellison personally. (</w:t>
      </w:r>
      <w:r>
        <w:rPr>
          <w:rFonts w:ascii="Times New Roman" w:hAnsi="Times New Roman"/>
          <w:b w:val="0"/>
          <w:i/>
          <w:sz w:val="24"/>
          <w:u w:val="none"/>
        </w:rPr>
        <w:t>See</w:t>
      </w:r>
      <w:r>
        <w:rPr>
          <w:rFonts w:ascii="Times New Roman" w:hAnsi="Times New Roman"/>
          <w:b w:val="0"/>
          <w:i w:val="0"/>
          <w:sz w:val="24"/>
          <w:u w:val="none"/>
        </w:rPr>
        <w:t xml:space="preserve"> Compl. ¶¶ 15–17.) The alleged benefit is the advisory fee paid to Meridian (Compl. ¶ 15), not any payment to Ellison. Count III therefore fails against Ellison as well.</w:t>
      </w:r>
    </w:p>
    <w:p>
      <w:pPr>
        <w:keepNext/>
        <w:spacing w:before="240" w:after="120" w:line="240" w:lineRule="auto"/>
        <w:jc w:val="left"/>
      </w:pPr>
      <w:r>
        <w:rPr>
          <w:rFonts w:ascii="Times New Roman" w:hAnsi="Times New Roman"/>
          <w:b/>
          <w:i w:val="0"/>
          <w:sz w:val="24"/>
          <w:u w:val="single"/>
        </w:rPr>
        <w:t>E.  Plaintiff's Claims Are Time-Barred to the Extent They Arise from the 2021 Engagement.</w:t>
      </w:r>
    </w:p>
    <w:p>
      <w:pPr>
        <w:keepNext w:val="0"/>
        <w:spacing w:before="0" w:after="0" w:line="480" w:lineRule="auto"/>
        <w:ind w:firstLine="720"/>
      </w:pPr>
      <w:r>
        <w:rPr>
          <w:rFonts w:ascii="Times New Roman" w:hAnsi="Times New Roman"/>
          <w:b w:val="0"/>
          <w:i w:val="0"/>
          <w:sz w:val="24"/>
          <w:u w:val="none"/>
        </w:rPr>
        <w:t xml:space="preserve">Florida Statute § 95.11 governs. Counts I and II are subject to a four-year limitations period. </w:t>
      </w:r>
      <w:r>
        <w:rPr>
          <w:rFonts w:ascii="Times New Roman" w:hAnsi="Times New Roman"/>
          <w:b w:val="0"/>
          <w:i/>
          <w:sz w:val="24"/>
          <w:u w:val="none"/>
        </w:rPr>
        <w:t>See</w:t>
      </w:r>
      <w:r>
        <w:rPr>
          <w:rFonts w:ascii="Times New Roman" w:hAnsi="Times New Roman"/>
          <w:b w:val="0"/>
          <w:i w:val="0"/>
          <w:sz w:val="24"/>
          <w:u w:val="none"/>
        </w:rPr>
        <w:t xml:space="preserve"> Fla. Stat. § 95.11(3) [VERIFY]. The Complaint was filed on March 12, 2026. (</w:t>
      </w:r>
      <w:r>
        <w:rPr>
          <w:rFonts w:ascii="Times New Roman" w:hAnsi="Times New Roman"/>
          <w:b w:val="0"/>
          <w:i/>
          <w:sz w:val="24"/>
          <w:u w:val="none"/>
        </w:rPr>
        <w:t>See</w:t>
      </w:r>
      <w:r>
        <w:rPr>
          <w:rFonts w:ascii="Times New Roman" w:hAnsi="Times New Roman"/>
          <w:b w:val="0"/>
          <w:i w:val="0"/>
          <w:sz w:val="24"/>
          <w:u w:val="none"/>
        </w:rPr>
        <w:t xml:space="preserve"> Dkt. No. 1.) To the extent HCP's claims rest on conduct tied to the March 2021 engagement of Meridian (Compl. ¶¶ 12–13), the math is straightforward:</w:t>
      </w:r>
    </w:p>
    <w:p>
      <w:pPr>
        <w:keepNext w:val="0"/>
        <w:spacing w:before="0" w:after="0" w:line="480" w:lineRule="auto"/>
        <w:ind w:firstLine="0"/>
      </w:pPr>
      <w:r>
        <w:rPr>
          <w:rFonts w:ascii="Times New Roman" w:hAnsi="Times New Roman"/>
          <w:b w:val="0"/>
          <w:i w:val="0"/>
          <w:sz w:val="24"/>
          <w:u w:val="none"/>
        </w:rPr>
        <w:t xml:space="preserve">        Earliest alleged wrongful act:  March 10, 2021 (Compl. ¶ 12).</w:t>
      </w:r>
    </w:p>
    <w:p>
      <w:pPr>
        <w:keepNext w:val="0"/>
        <w:spacing w:before="0" w:after="0" w:line="480" w:lineRule="auto"/>
        <w:ind w:firstLine="0"/>
      </w:pPr>
      <w:r>
        <w:rPr>
          <w:rFonts w:ascii="Times New Roman" w:hAnsi="Times New Roman"/>
          <w:b w:val="0"/>
          <w:i w:val="0"/>
          <w:sz w:val="24"/>
          <w:u w:val="none"/>
        </w:rPr>
        <w:t xml:space="preserve">        Filing date:                   March 12, 2026.</w:t>
      </w:r>
    </w:p>
    <w:p>
      <w:pPr>
        <w:keepNext w:val="0"/>
        <w:spacing w:before="0" w:after="0" w:line="480" w:lineRule="auto"/>
        <w:ind w:firstLine="0"/>
      </w:pPr>
      <w:r>
        <w:rPr>
          <w:rFonts w:ascii="Times New Roman" w:hAnsi="Times New Roman"/>
          <w:b w:val="0"/>
          <w:i w:val="0"/>
          <w:sz w:val="24"/>
          <w:u w:val="none"/>
        </w:rPr>
        <w:t xml:space="preserve">        Limitations period:            Four years (Fla. Stat. § 95.11(3)) [VERIFY].</w:t>
      </w:r>
    </w:p>
    <w:p>
      <w:pPr>
        <w:keepNext w:val="0"/>
        <w:spacing w:before="0" w:after="120" w:line="480" w:lineRule="auto"/>
        <w:ind w:firstLine="0"/>
      </w:pPr>
      <w:r>
        <w:rPr>
          <w:rFonts w:ascii="Times New Roman" w:hAnsi="Times New Roman"/>
          <w:b w:val="0"/>
          <w:i w:val="0"/>
          <w:sz w:val="24"/>
          <w:u w:val="none"/>
        </w:rPr>
        <w:t xml:space="preserve">        Elapsed:                       Five years and two days.</w:t>
      </w:r>
    </w:p>
    <w:p>
      <w:pPr>
        <w:keepNext w:val="0"/>
        <w:spacing w:before="0" w:after="0" w:line="480" w:lineRule="auto"/>
        <w:ind w:firstLine="720"/>
      </w:pPr>
      <w:r>
        <w:rPr>
          <w:rFonts w:ascii="Times New Roman" w:hAnsi="Times New Roman"/>
          <w:b w:val="0"/>
          <w:i w:val="0"/>
          <w:sz w:val="24"/>
          <w:u w:val="none"/>
        </w:rPr>
        <w:t>Any claim grounded on the 2021 engagement itself is therefore time-barred on the face of the Complaint. To the extent HCP's claims rest on the July 15, 2022 transfer (Compl. ¶ 25), those claims are timely but suffer from the pleading deficiencies described in Parts B–D above.</w:t>
      </w:r>
    </w:p>
    <w:p>
      <w:pPr>
        <w:keepNext w:val="0"/>
        <w:spacing w:before="0" w:after="0" w:line="480" w:lineRule="auto"/>
        <w:ind w:firstLine="720"/>
      </w:pPr>
      <w:r>
        <w:rPr>
          <w:rFonts w:ascii="Times New Roman" w:hAnsi="Times New Roman"/>
          <w:b w:val="0"/>
          <w:i w:val="0"/>
          <w:sz w:val="24"/>
          <w:u w:val="none"/>
        </w:rPr>
        <w:t xml:space="preserve">HCP pleads no basis for delayed discovery, fraudulent concealment, or equitable tolling. It may not amend the Complaint in opposition. </w:t>
      </w:r>
      <w:r>
        <w:rPr>
          <w:rFonts w:ascii="Times New Roman" w:hAnsi="Times New Roman"/>
          <w:b w:val="0"/>
          <w:i/>
          <w:sz w:val="24"/>
          <w:u w:val="none"/>
        </w:rPr>
        <w:t>See</w:t>
      </w:r>
      <w:r>
        <w:rPr>
          <w:rFonts w:ascii="Times New Roman" w:hAnsi="Times New Roman"/>
          <w:b w:val="0"/>
          <w:i w:val="0"/>
          <w:sz w:val="24"/>
          <w:u w:val="none"/>
        </w:rPr>
        <w:t xml:space="preserve"> [authority on plaintiff not amending via brief] [VERIFY].</w:t>
      </w:r>
    </w:p>
    <w:p>
      <w:pPr>
        <w:keepNext/>
        <w:spacing w:before="360" w:after="120" w:line="240" w:lineRule="auto"/>
        <w:jc w:val="left"/>
      </w:pPr>
      <w:r>
        <w:rPr>
          <w:rFonts w:ascii="Times New Roman" w:hAnsi="Times New Roman"/>
          <w:b/>
          <w:i w:val="0"/>
          <w:sz w:val="24"/>
          <w:u w:val="single"/>
        </w:rPr>
        <w:t>III.  CONCLUSION</w:t>
      </w:r>
    </w:p>
    <w:p>
      <w:pPr>
        <w:keepNext w:val="0"/>
        <w:spacing w:before="0" w:after="0" w:line="480" w:lineRule="auto"/>
        <w:ind w:firstLine="720"/>
      </w:pPr>
      <w:r>
        <w:rPr>
          <w:rFonts w:ascii="Times New Roman" w:hAnsi="Times New Roman"/>
          <w:b w:val="0"/>
          <w:i w:val="0"/>
          <w:sz w:val="24"/>
          <w:u w:val="none"/>
        </w:rPr>
        <w:t>For the foregoing reasons, Defendants Meridian Advisors, Inc. and Thomas B. Ellison respectfully request that the Court:</w:t>
      </w:r>
    </w:p>
    <w:p>
      <w:pPr>
        <w:keepNext w:val="0"/>
        <w:spacing w:before="0" w:after="0" w:line="480" w:lineRule="auto"/>
        <w:ind w:firstLine="720"/>
      </w:pPr>
      <w:r>
        <w:rPr>
          <w:rFonts w:ascii="Times New Roman" w:hAnsi="Times New Roman"/>
          <w:b w:val="0"/>
          <w:i w:val="0"/>
          <w:sz w:val="24"/>
          <w:u w:val="none"/>
        </w:rPr>
        <w:t>(a) dismiss Count I (breach of fiduciary duty) and Count II (negligence) without prejudice for failure to state a claim; and</w:t>
      </w:r>
    </w:p>
    <w:p>
      <w:pPr>
        <w:keepNext w:val="0"/>
        <w:spacing w:before="0" w:after="0" w:line="480" w:lineRule="auto"/>
        <w:ind w:firstLine="720"/>
      </w:pPr>
      <w:r>
        <w:rPr>
          <w:rFonts w:ascii="Times New Roman" w:hAnsi="Times New Roman"/>
          <w:b w:val="0"/>
          <w:i w:val="0"/>
          <w:sz w:val="24"/>
          <w:u w:val="none"/>
        </w:rPr>
        <w:t>(b) dismiss Count III (unjust enrichment) with prejudice as duplicative of the contract governing the parties' relationship;</w:t>
      </w:r>
    </w:p>
    <w:p>
      <w:pPr>
        <w:keepNext w:val="0"/>
        <w:spacing w:before="0" w:after="0" w:line="480" w:lineRule="auto"/>
        <w:ind w:firstLine="720"/>
      </w:pPr>
      <w:r>
        <w:rPr>
          <w:rFonts w:ascii="Times New Roman" w:hAnsi="Times New Roman"/>
          <w:b w:val="0"/>
          <w:i w:val="0"/>
          <w:sz w:val="24"/>
          <w:u w:val="none"/>
        </w:rPr>
        <w:t>(c) in the alternative, dismiss all claims insofar as they rest on the 2021 engagement as time-barred; and</w:t>
      </w:r>
    </w:p>
    <w:p>
      <w:pPr>
        <w:keepNext w:val="0"/>
        <w:spacing w:before="0" w:after="0" w:line="480" w:lineRule="auto"/>
        <w:ind w:firstLine="720"/>
      </w:pPr>
      <w:r>
        <w:rPr>
          <w:rFonts w:ascii="Times New Roman" w:hAnsi="Times New Roman"/>
          <w:b w:val="0"/>
          <w:i w:val="0"/>
          <w:sz w:val="24"/>
          <w:u w:val="none"/>
        </w:rPr>
        <w:t>(d) grant such further relief as the Court deems just.</w:t>
      </w:r>
    </w:p>
    <w:p>
      <w:pPr>
        <w:keepNext/>
        <w:spacing w:before="360" w:after="120" w:line="240" w:lineRule="auto"/>
        <w:jc w:val="left"/>
      </w:pPr>
      <w:r>
        <w:rPr>
          <w:rFonts w:ascii="Times New Roman" w:hAnsi="Times New Roman"/>
          <w:b/>
          <w:i w:val="0"/>
          <w:sz w:val="24"/>
          <w:u w:val="single"/>
        </w:rPr>
        <w:t>CERTIFICATE OF GOOD FAITH CONFERENCE UNDER LOCAL RULE 7.1(a)(3)</w:t>
      </w:r>
    </w:p>
    <w:p>
      <w:pPr>
        <w:keepNext w:val="0"/>
        <w:spacing w:before="0" w:after="0" w:line="480" w:lineRule="auto"/>
        <w:ind w:firstLine="720"/>
      </w:pPr>
      <w:r>
        <w:rPr>
          <w:rFonts w:ascii="Times New Roman" w:hAnsi="Times New Roman"/>
          <w:b w:val="0"/>
          <w:i w:val="0"/>
          <w:sz w:val="24"/>
          <w:u w:val="none"/>
        </w:rPr>
        <w:t>Pursuant to Local Rule 7.1(a)(3), undersigned counsel certifies that on April 17, 2026, counsel for Defendants conferred in good faith with counsel for Plaintiff by telephone to attempt to resolve the issues presented by this Motion. Plaintiff opposes the relief requested.</w:t>
      </w:r>
    </w:p>
    <w:p>
      <w:pPr>
        <w:keepNext/>
        <w:spacing w:before="360" w:after="120" w:line="240" w:lineRule="auto"/>
        <w:jc w:val="left"/>
      </w:pPr>
      <w:r>
        <w:rPr>
          <w:rFonts w:ascii="Times New Roman" w:hAnsi="Times New Roman"/>
          <w:b/>
          <w:i w:val="0"/>
          <w:sz w:val="24"/>
          <w:u w:val="single"/>
        </w:rPr>
        <w:t>NOTE ON CITATIONS</w:t>
      </w:r>
    </w:p>
    <w:p>
      <w:pPr>
        <w:keepNext w:val="0"/>
        <w:spacing w:before="0" w:after="0" w:line="480" w:lineRule="auto"/>
        <w:ind w:firstLine="720"/>
      </w:pPr>
      <w:r>
        <w:rPr>
          <w:rFonts w:ascii="Times New Roman" w:hAnsi="Times New Roman"/>
          <w:b w:val="0"/>
          <w:i w:val="0"/>
          <w:sz w:val="24"/>
          <w:u w:val="none"/>
        </w:rPr>
        <w:t>Every citation in this draft is flagged [VERIFY]. No citation has been cleared for filing. Before any filing version of this motion leaves the Firm, each citation will be run through the Firm's citation-verification protocol, and each case will have been personally read by signing counsel.</w:t>
      </w:r>
    </w:p>
    <w:p>
      <w:pPr>
        <w:keepNext w:val="0"/>
        <w:spacing w:before="360" w:after="0" w:line="240" w:lineRule="auto"/>
      </w:pPr>
    </w:p>
    <w:p>
      <w:pPr>
        <w:keepNext w:val="0"/>
        <w:spacing w:before="0" w:after="0" w:line="480" w:lineRule="auto"/>
        <w:ind w:firstLine="0"/>
      </w:pPr>
      <w:r>
        <w:rPr>
          <w:rFonts w:ascii="Times New Roman" w:hAnsi="Times New Roman"/>
          <w:b w:val="0"/>
          <w:i w:val="0"/>
          <w:sz w:val="24"/>
          <w:u w:val="none"/>
        </w:rPr>
        <w:t>Dated: April 19, 2026                Respectfully submitted,</w:t>
      </w:r>
    </w:p>
    <w:p>
      <w:pPr>
        <w:keepNext w:val="0"/>
        <w:spacing w:before="0" w:after="0" w:line="480" w:lineRule="auto"/>
        <w:ind w:firstLine="0"/>
      </w:pPr>
      <w:r>
        <w:rPr>
          <w:rFonts w:ascii="Times New Roman" w:hAnsi="Times New Roman"/>
          <w:b w:val="0"/>
          <w:i w:val="0"/>
          <w:sz w:val="24"/>
          <w:u w:val="none"/>
        </w:rPr>
      </w:r>
    </w:p>
    <w:p>
      <w:pPr>
        <w:keepNext w:val="0"/>
        <w:spacing w:before="0" w:after="0" w:line="480" w:lineRule="auto"/>
        <w:ind w:firstLine="0"/>
      </w:pPr>
      <w:r>
        <w:rPr>
          <w:rFonts w:ascii="Times New Roman" w:hAnsi="Times New Roman"/>
          <w:b w:val="0"/>
          <w:i w:val="0"/>
          <w:sz w:val="24"/>
          <w:u w:val="none"/>
        </w:rPr>
        <w:t xml:space="preserve">                                     /s/  Blake Beyel                            </w:t>
      </w:r>
    </w:p>
    <w:p>
      <w:pPr>
        <w:keepNext w:val="0"/>
        <w:spacing w:before="0" w:after="0" w:line="480" w:lineRule="auto"/>
        <w:ind w:firstLine="0"/>
      </w:pPr>
      <w:r>
        <w:rPr>
          <w:rFonts w:ascii="Times New Roman" w:hAnsi="Times New Roman"/>
          <w:b w:val="0"/>
          <w:i w:val="0"/>
          <w:sz w:val="24"/>
          <w:u w:val="none"/>
        </w:rPr>
        <w:t xml:space="preserve">                                     Blake Beyel, Esq.</w:t>
      </w:r>
    </w:p>
    <w:p>
      <w:pPr>
        <w:keepNext w:val="0"/>
        <w:spacing w:before="0" w:after="0" w:line="480" w:lineRule="auto"/>
        <w:ind w:firstLine="0"/>
      </w:pPr>
      <w:r>
        <w:rPr>
          <w:rFonts w:ascii="Times New Roman" w:hAnsi="Times New Roman"/>
          <w:b w:val="0"/>
          <w:i w:val="0"/>
          <w:sz w:val="24"/>
          <w:u w:val="none"/>
        </w:rPr>
        <w:t xml:space="preserve">                                     Florida Bar No. 1034912</w:t>
      </w:r>
    </w:p>
    <w:p>
      <w:pPr>
        <w:keepNext w:val="0"/>
        <w:spacing w:before="0" w:after="0" w:line="480" w:lineRule="auto"/>
        <w:ind w:firstLine="0"/>
      </w:pPr>
      <w:r>
        <w:rPr>
          <w:rFonts w:ascii="Times New Roman" w:hAnsi="Times New Roman"/>
          <w:b w:val="0"/>
          <w:i w:val="0"/>
          <w:sz w:val="24"/>
          <w:u w:val="none"/>
        </w:rPr>
        <w:t xml:space="preserve">                                     BEYEL BROTHERS, INC. — In-House Counsel</w:t>
      </w:r>
    </w:p>
    <w:p>
      <w:pPr>
        <w:keepNext w:val="0"/>
        <w:spacing w:before="0" w:after="0" w:line="480" w:lineRule="auto"/>
        <w:ind w:firstLine="0"/>
      </w:pPr>
      <w:r>
        <w:rPr>
          <w:rFonts w:ascii="Times New Roman" w:hAnsi="Times New Roman"/>
          <w:b w:val="0"/>
          <w:i w:val="0"/>
          <w:sz w:val="24"/>
          <w:u w:val="none"/>
        </w:rPr>
        <w:t xml:space="preserve">                                     blake.beyel@beyel.com</w:t>
      </w:r>
    </w:p>
    <w:p>
      <w:pPr>
        <w:keepNext w:val="0"/>
        <w:spacing w:before="0" w:after="0" w:line="480" w:lineRule="auto"/>
        <w:ind w:firstLine="0"/>
      </w:pPr>
      <w:r>
        <w:rPr>
          <w:rFonts w:ascii="Times New Roman" w:hAnsi="Times New Roman"/>
          <w:b w:val="0"/>
          <w:i w:val="0"/>
          <w:sz w:val="24"/>
          <w:u w:val="none"/>
        </w:rPr>
        <w:t xml:space="preserve">                                     Counsel for Defendants</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