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pPr>
      <w:r>
        <w:rPr>
          <w:b/>
          <w:bCs/>
        </w:rPr>
        <w:t xml:space="preserve">Redline Memo — Master Services Agreement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888888" w:sz="4"/>
              <w:left w:val="single" w:color="888888" w:sz="4"/>
              <w:bottom w:val="single" w:color="888888" w:sz="4"/>
              <w:right w:val="single" w:color="888888" w:sz="4"/>
            </w:tcBorders>
            <w:shd w:fill="F2F2F2" w:color="auto" w:val="clear"/>
            <w:tcMar>
              <w:top w:type="dxa" w:w="80"/>
              <w:left w:type="dxa" w:w="120"/>
              <w:bottom w:type="dxa" w:w="80"/>
              <w:right w:type="dxa" w:w="120"/>
            </w:tcMar>
          </w:tcPr>
          <w:p>
            <w:r>
              <w:rPr>
                <w:b/>
                <w:bCs/>
              </w:rPr>
              <w:t xml:space="preserve">Counterparty:</w:t>
            </w:r>
          </w:p>
        </w:tc>
        <w:tc>
          <w:tcPr>
            <w:tcW w:type="dxa" w:w="696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Apex Global Consulting Group, Inc. (Service Provider)</w:t>
            </w:r>
          </w:p>
        </w:tc>
      </w:tr>
      <w:tr>
        <w:tc>
          <w:tcPr>
            <w:tcW w:type="dxa" w:w="2400"/>
            <w:tcBorders>
              <w:top w:val="single" w:color="888888" w:sz="4"/>
              <w:left w:val="single" w:color="888888" w:sz="4"/>
              <w:bottom w:val="single" w:color="888888" w:sz="4"/>
              <w:right w:val="single" w:color="888888" w:sz="4"/>
            </w:tcBorders>
            <w:shd w:fill="F2F2F2" w:color="auto" w:val="clear"/>
            <w:tcMar>
              <w:top w:type="dxa" w:w="80"/>
              <w:left w:type="dxa" w:w="120"/>
              <w:bottom w:type="dxa" w:w="80"/>
              <w:right w:type="dxa" w:w="120"/>
            </w:tcMar>
          </w:tcPr>
          <w:p>
            <w:r>
              <w:rPr>
                <w:b/>
                <w:bCs/>
              </w:rPr>
              <w:t xml:space="preserve">Agreement:</w:t>
            </w:r>
          </w:p>
        </w:tc>
        <w:tc>
          <w:tcPr>
            <w:tcW w:type="dxa" w:w="696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Master Services Agreement, Contract No. MSA-2026-04187, dated April 15, 2026</w:t>
            </w:r>
          </w:p>
        </w:tc>
      </w:tr>
      <w:tr>
        <w:tc>
          <w:tcPr>
            <w:tcW w:type="dxa" w:w="2400"/>
            <w:tcBorders>
              <w:top w:val="single" w:color="888888" w:sz="4"/>
              <w:left w:val="single" w:color="888888" w:sz="4"/>
              <w:bottom w:val="single" w:color="888888" w:sz="4"/>
              <w:right w:val="single" w:color="888888" w:sz="4"/>
            </w:tcBorders>
            <w:shd w:fill="F2F2F2" w:color="auto" w:val="clear"/>
            <w:tcMar>
              <w:top w:type="dxa" w:w="80"/>
              <w:left w:type="dxa" w:w="120"/>
              <w:bottom w:type="dxa" w:w="80"/>
              <w:right w:type="dxa" w:w="120"/>
            </w:tcMar>
          </w:tcPr>
          <w:p>
            <w:r>
              <w:rPr>
                <w:b/>
                <w:bCs/>
              </w:rPr>
              <w:t xml:space="preserve">Reviewer:</w:t>
            </w:r>
          </w:p>
        </w:tc>
        <w:tc>
          <w:tcPr>
            <w:tcW w:type="dxa" w:w="696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Outside review (Tier 1 first-pass)</w:t>
            </w:r>
          </w:p>
        </w:tc>
      </w:tr>
      <w:tr>
        <w:tc>
          <w:tcPr>
            <w:tcW w:type="dxa" w:w="2400"/>
            <w:tcBorders>
              <w:top w:val="single" w:color="888888" w:sz="4"/>
              <w:left w:val="single" w:color="888888" w:sz="4"/>
              <w:bottom w:val="single" w:color="888888" w:sz="4"/>
              <w:right w:val="single" w:color="888888" w:sz="4"/>
            </w:tcBorders>
            <w:shd w:fill="F2F2F2" w:color="auto" w:val="clear"/>
            <w:tcMar>
              <w:top w:type="dxa" w:w="80"/>
              <w:left w:type="dxa" w:w="120"/>
              <w:bottom w:type="dxa" w:w="80"/>
              <w:right w:type="dxa" w:w="120"/>
            </w:tcMar>
          </w:tcPr>
          <w:p>
            <w:r>
              <w:rPr>
                <w:b/>
                <w:bCs/>
              </w:rPr>
              <w:t xml:space="preserve">Review date:</w:t>
            </w:r>
          </w:p>
        </w:tc>
        <w:tc>
          <w:tcPr>
            <w:tcW w:type="dxa" w:w="696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2026-04-19</w:t>
            </w:r>
          </w:p>
        </w:tc>
      </w:tr>
      <w:tr>
        <w:tc>
          <w:tcPr>
            <w:tcW w:type="dxa" w:w="2400"/>
            <w:tcBorders>
              <w:top w:val="single" w:color="888888" w:sz="4"/>
              <w:left w:val="single" w:color="888888" w:sz="4"/>
              <w:bottom w:val="single" w:color="888888" w:sz="4"/>
              <w:right w:val="single" w:color="888888" w:sz="4"/>
            </w:tcBorders>
            <w:shd w:fill="F2F2F2" w:color="auto" w:val="clear"/>
            <w:tcMar>
              <w:top w:type="dxa" w:w="80"/>
              <w:left w:type="dxa" w:w="120"/>
              <w:bottom w:type="dxa" w:w="80"/>
              <w:right w:type="dxa" w:w="120"/>
            </w:tcMar>
          </w:tcPr>
          <w:p>
            <w:r>
              <w:rPr>
                <w:b/>
                <w:bCs/>
              </w:rPr>
              <w:t xml:space="preserve">Overall recommendation:</w:t>
            </w:r>
          </w:p>
        </w:tc>
        <w:tc>
          <w:tcPr>
            <w:tcW w:type="dxa" w:w="696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DO NOT SIGN — material redlines required across §3, §4, §7, §8, §9, §10, §12.4. No insurance and no data protection terms; liability cap is one-sided and abnormally low.</w:t>
            </w:r>
          </w:p>
        </w:tc>
      </w:tr>
    </w:tbl>
    <w:p>
      <w:pPr>
        <w:spacing w:after="120"/>
      </w:pPr>
      <w:r>
        <w:t xml:space="preserve"/>
      </w:r>
    </w:p>
    <w:p>
      <w:pPr>
        <w:pStyle w:val="Heading2"/>
        <w:spacing w:after="180" w:before="300"/>
      </w:pPr>
      <w:r>
        <w:rPr>
          <w:b/>
          <w:bCs/>
        </w:rPr>
        <w:t xml:space="preserve">1. Executive Summary</w:t>
      </w:r>
    </w:p>
    <w:p>
      <w:pPr>
        <w:pStyle w:val="ListParagraph"/>
        <w:numPr>
          <w:ilvl w:val="0"/>
          <w:numId w:val="2"/>
        </w:numPr>
        <w:spacing w:after="80"/>
      </w:pPr>
      <w:r>
        <w:t xml:space="preserve">This is a Service Provider draft and it shows. Liability is capped at three months of fees and only the Service Provider gets the cap; Client's liability is uncapped by implication. That is the single biggest issue in the document.</w:t>
      </w:r>
    </w:p>
    <w:p>
      <w:pPr>
        <w:pStyle w:val="ListParagraph"/>
        <w:numPr>
          <w:ilvl w:val="0"/>
          <w:numId w:val="2"/>
        </w:numPr>
        <w:spacing w:after="80"/>
      </w:pPr>
      <w:r>
        <w:t xml:space="preserve">The Service Provider can raise rates 15% per year unilaterally, and Client owes 25% of the remaining contract value as an early termination fee. Together these create a one-way ratchet that punishes Client for trying to leave.</w:t>
      </w:r>
    </w:p>
    <w:p>
      <w:pPr>
        <w:pStyle w:val="ListParagraph"/>
        <w:numPr>
          <w:ilvl w:val="0"/>
          <w:numId w:val="2"/>
        </w:numPr>
        <w:spacing w:after="80"/>
      </w:pPr>
      <w:r>
        <w:t xml:space="preserve">The Service Provider's IP "residuals" carve-out (§4.3) lets them reuse what they learn on Client's project for competitors. For a Client buying tech implementation services, that is a meaningful trade-secret leakage risk.</w:t>
      </w:r>
    </w:p>
    <w:p>
      <w:pPr>
        <w:pStyle w:val="ListParagraph"/>
        <w:numPr>
          <w:ilvl w:val="0"/>
          <w:numId w:val="2"/>
        </w:numPr>
        <w:spacing w:after="80"/>
      </w:pPr>
      <w:r>
        <w:t xml:space="preserve">There is no DPA, no security standard, no breach-notification timeline, and no insurance requirement. For a three-year tech-implementation MSA, those are not optional.</w:t>
      </w:r>
    </w:p>
    <w:p>
      <w:pPr>
        <w:pStyle w:val="ListParagraph"/>
        <w:numPr>
          <w:ilvl w:val="0"/>
          <w:numId w:val="2"/>
        </w:numPr>
        <w:spacing w:after="80"/>
      </w:pPr>
      <w:r>
        <w:t xml:space="preserve">Mandatory arbitration with no injunctive-relief carve-out means Client cannot run to court to stop a confidentiality or IP breach in real time.</w:t>
      </w:r>
    </w:p>
    <w:p>
      <w:pPr>
        <w:pStyle w:val="Heading2"/>
        <w:spacing w:after="180" w:before="300"/>
      </w:pPr>
      <w:r>
        <w:rPr>
          <w:b/>
          <w:bCs/>
        </w:rPr>
        <w:t xml:space="preserve">2. Critical Issues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1040"/>
        <w:gridCol w:w="1200"/>
        <w:gridCol w:w="3300"/>
        <w:gridCol w:w="3300"/>
      </w:tblGrid>
      <w:tr>
        <w:trPr>
          <w:tblHeader/>
        </w:trPr>
        <w:tc>
          <w:tcPr>
            <w:tcW w:type="dxa" w:w="520"/>
            <w:tcBorders>
              <w:top w:val="single" w:color="888888" w:sz="4"/>
              <w:left w:val="single" w:color="888888" w:sz="4"/>
              <w:bottom w:val="single" w:color="888888" w:sz="4"/>
              <w:right w:val="single" w:color="888888" w:sz="4"/>
            </w:tcBorders>
            <w:shd w:fill="D5E8F0" w:color="auto" w:val="clear"/>
            <w:tcMar>
              <w:top w:type="dxa" w:w="80"/>
              <w:left w:type="dxa" w:w="120"/>
              <w:bottom w:type="dxa" w:w="80"/>
              <w:right w:type="dxa" w:w="120"/>
            </w:tcMar>
          </w:tcPr>
          <w:p>
            <w:r>
              <w:rPr>
                <w:b/>
                <w:bCs/>
              </w:rPr>
              <w:t xml:space="preserve">#</w:t>
            </w:r>
          </w:p>
        </w:tc>
        <w:tc>
          <w:tcPr>
            <w:tcW w:type="dxa" w:w="1040"/>
            <w:tcBorders>
              <w:top w:val="single" w:color="888888" w:sz="4"/>
              <w:left w:val="single" w:color="888888" w:sz="4"/>
              <w:bottom w:val="single" w:color="888888" w:sz="4"/>
              <w:right w:val="single" w:color="888888" w:sz="4"/>
            </w:tcBorders>
            <w:shd w:fill="D5E8F0" w:color="auto" w:val="clear"/>
            <w:tcMar>
              <w:top w:type="dxa" w:w="80"/>
              <w:left w:type="dxa" w:w="120"/>
              <w:bottom w:type="dxa" w:w="80"/>
              <w:right w:type="dxa" w:w="120"/>
            </w:tcMar>
          </w:tcPr>
          <w:p>
            <w:r>
              <w:rPr>
                <w:b/>
                <w:bCs/>
              </w:rPr>
              <w:t xml:space="preserve">Severity</w:t>
            </w:r>
          </w:p>
        </w:tc>
        <w:tc>
          <w:tcPr>
            <w:tcW w:type="dxa" w:w="1200"/>
            <w:tcBorders>
              <w:top w:val="single" w:color="888888" w:sz="4"/>
              <w:left w:val="single" w:color="888888" w:sz="4"/>
              <w:bottom w:val="single" w:color="888888" w:sz="4"/>
              <w:right w:val="single" w:color="888888" w:sz="4"/>
            </w:tcBorders>
            <w:shd w:fill="D5E8F0" w:color="auto" w:val="clear"/>
            <w:tcMar>
              <w:top w:type="dxa" w:w="80"/>
              <w:left w:type="dxa" w:w="120"/>
              <w:bottom w:type="dxa" w:w="80"/>
              <w:right w:type="dxa" w:w="120"/>
            </w:tcMar>
          </w:tcPr>
          <w:p>
            <w:r>
              <w:rPr>
                <w:b/>
                <w:bCs/>
              </w:rPr>
              <w:t xml:space="preserve">Section</w:t>
            </w:r>
          </w:p>
        </w:tc>
        <w:tc>
          <w:tcPr>
            <w:tcW w:type="dxa" w:w="3300"/>
            <w:tcBorders>
              <w:top w:val="single" w:color="888888" w:sz="4"/>
              <w:left w:val="single" w:color="888888" w:sz="4"/>
              <w:bottom w:val="single" w:color="888888" w:sz="4"/>
              <w:right w:val="single" w:color="888888" w:sz="4"/>
            </w:tcBorders>
            <w:shd w:fill="D5E8F0" w:color="auto" w:val="clear"/>
            <w:tcMar>
              <w:top w:type="dxa" w:w="80"/>
              <w:left w:type="dxa" w:w="120"/>
              <w:bottom w:type="dxa" w:w="80"/>
              <w:right w:type="dxa" w:w="120"/>
            </w:tcMar>
          </w:tcPr>
          <w:p>
            <w:r>
              <w:rPr>
                <w:b/>
                <w:bCs/>
              </w:rPr>
              <w:t xml:space="preserve">Issue</w:t>
            </w:r>
          </w:p>
        </w:tc>
        <w:tc>
          <w:tcPr>
            <w:tcW w:type="dxa" w:w="3300"/>
            <w:tcBorders>
              <w:top w:val="single" w:color="888888" w:sz="4"/>
              <w:left w:val="single" w:color="888888" w:sz="4"/>
              <w:bottom w:val="single" w:color="888888" w:sz="4"/>
              <w:right w:val="single" w:color="888888" w:sz="4"/>
            </w:tcBorders>
            <w:shd w:fill="D5E8F0" w:color="auto" w:val="clear"/>
            <w:tcMar>
              <w:top w:type="dxa" w:w="80"/>
              <w:left w:type="dxa" w:w="120"/>
              <w:bottom w:type="dxa" w:w="80"/>
              <w:right w:type="dxa" w:w="120"/>
            </w:tcMar>
          </w:tcPr>
          <w:p>
            <w:r>
              <w:rPr>
                <w:b/>
                <w:bCs/>
              </w:rPr>
              <w:t xml:space="preserve">Proposed Fix</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§7.1, §7.2</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One-sided cap and consequential-damages waiver; cap is 3 months of fees with zero carve-outs</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Make mutual; raise to 12 months; add carve-outs for indemnity, confidentiality, IP, GN/WM/fraud, payment</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2</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§3.3</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Service Provider can unilaterally raise rates 15% per year</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Cap annual increase at lesser of CPI or 3%; require Client consent above that</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3</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§9.4</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Client termination for convenience costs 180 days' notice plus 25% of remaining SOW fees</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Reduce to 30–60 days' notice; pay only for work performed and non-cancellable expenses</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4</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§8.3</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Indemnitor gets sole control of defense with no consent-to-settle</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Indemnitee must consent to any settlement that imposes obligations or admits liability</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5</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§8.1, §7.2</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Indemnities (including IP infringement) are subject to the §7.2 cap</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Carve indemnities out of the cap</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6</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§4.3</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Vendor "residuals" clause lets them reuse "ideas, concepts, techniques, and know-how" for other clients</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Strike or narrow to general skills only; expressly exclude Client Confidential Information and any Client-specific methodology</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7</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(missing)</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No data protection / privacy / security terms at all</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Add a DPA exhibit covering data classification, security standards, breach notification, and cross-border transfer</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8</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CRITICAL</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(missing)</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No insurance requirements</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Require CGL, professional liability/E&amp;O, and cyber liability with stated minimums and additional-insured language</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9</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§10.2</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Client must give Vendor right of first refusal for similar services for 12 months post-termination</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Strike entirely; unenforceable in many jurisdictions and commercially unacceptable</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10</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§11.2</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Mandatory binding arbitration with no carve-out for injunctive relief</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Add carve-out: either party may seek injunctive relief in court for IP or confidentiality breaches</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11</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§12.4</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Service Provider can assign to an affiliate or in M&amp;A without consent; Client cannot</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Make mutual; carve out assignment to a direct competitor of the non-assigning party</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12</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§3.2</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15-day payment terms with 2.5%/month (30% APR) interest</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Net-30 or Net-45; interest at 1%/month or 1.5x prime, whichever is less</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13</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§6.1(c)</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90-day warranty on Deliverables is short</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Extend to 12 months; remedy includes re-performance and refund</w:t>
            </w:r>
          </w:p>
        </w:tc>
      </w:tr>
      <w:tr>
        <w:tc>
          <w:tcPr>
            <w:tcW w:type="dxa" w:w="5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14</w:t>
            </w:r>
          </w:p>
        </w:tc>
        <w:tc>
          <w:tcPr>
            <w:tcW w:type="dxa" w:w="10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bCs/>
              </w:rPr>
              <w:t xml:space="preserve">HIGH</w:t>
            </w:r>
          </w:p>
        </w:tc>
        <w:tc>
          <w:tcPr>
            <w:tcW w:type="dxa" w:w="12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§9.2 vs §9.3</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Vendor can terminate for non-payment in 30 days; Client has no parallel right for non-performance</w:t>
            </w:r>
          </w:p>
        </w:tc>
        <w:tc>
          <w:tcPr>
            <w:tcW w:type="dxa" w:w="330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rPr>
              <w:t xml:space="preserve">Add Client right to terminate immediately for repeated material breach after a single failed cure</w:t>
            </w:r>
          </w:p>
        </w:tc>
      </w:tr>
    </w:tbl>
    <w:p>
      <w:pPr>
        <w:spacing w:after="120"/>
      </w:pPr>
      <w:r>
        <w:t xml:space="preserve"/>
      </w:r>
    </w:p>
    <w:p>
      <w:pPr>
        <w:pStyle w:val="Heading2"/>
        <w:spacing w:after="180" w:before="300"/>
      </w:pPr>
      <w:r>
        <w:rPr>
          <w:b/>
          <w:bCs/>
        </w:rPr>
        <w:t xml:space="preserve">3. Clause-by-Clause Findings</w:t>
      </w:r>
    </w:p>
    <w:p>
      <w:pPr>
        <w:pStyle w:val="Heading3"/>
        <w:spacing w:after="140" w:before="240"/>
      </w:pPr>
      <w:r>
        <w:rPr>
          <w:b/>
          <w:bCs/>
        </w:rPr>
        <w:t xml:space="preserve">3.1 Limitation of Liability — §7.1, §7.2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7.1 TO THE MAXIMUM EXTENT PERMITTED BY LAW, IN NO EVENT SHALL SERVICE PROVIDER BE LIABLE TO CLIENT FOR ANY INDIRECT, INCIDENTAL, SPECIAL, CONSEQUENTIAL, PUNITIVE, OR EXEMPLARY DAMAGES, INCLUDING BUT NOT LIMITED TO DAMAGES FOR LOSS OF PROFITS, REVENUE, GOODWILL, DATA, OR BUSINESS OPPORTUNITIES, REGARDLESS OF WHETHER SUCH DAMAGES WERE FORESEEABLE OR WHETHER SERVICE PROVIDER WAS ADVISED OF THE POSSIBILITY THEREOF.</w:t>
      </w:r>
    </w:p>
    <w:p>
      <w:pPr>
        <w:pStyle w:val="IntenseQuote"/>
        <w:pBdr>
          <w:left w:val="single" w:color="888888" w:sz="12" w:space="10"/>
        </w:pBdr>
        <w:spacing w:after="140"/>
        <w:ind w:left="720"/>
      </w:pPr>
      <w:r>
        <w:rPr>
          <w:i/>
          <w:iCs/>
        </w:rPr>
        <w:t xml:space="preserve">7.2 SERVICE PROVIDER'S TOTAL AGGREGATE LIABILITY UNDER THIS AGREEMENT, WHETHER IN CONTRACT, TORT, OR OTHERWISE, SHALL NOT EXCEED THE FEES ACTUALLY PAID BY CLIENT TO SERVICE PROVIDER DURING THE THREE (3) MONTH PERIOD IMMEDIATELY PRECEDING THE EVENT GIVING RISE TO THE CLAIM.</w:t>
      </w:r>
    </w:p>
    <w:p>
      <w:pPr>
        <w:spacing w:after="60" w:before="100"/>
      </w:pPr>
      <w:r>
        <w:rPr>
          <w:b/>
          <w:bCs/>
        </w:rPr>
        <w:t xml:space="preserve">Why it's a problem:</w:t>
      </w:r>
    </w:p>
    <w:p>
      <w:pPr>
        <w:spacing w:after="120"/>
        <w:jc w:val="both"/>
      </w:pPr>
      <w:r>
        <w:t xml:space="preserve">Three structural defects, each material on its own. First, both the consequential-damages waiver (§7.1) and the cap (§7.2) protect only Service Provider, leaving Client uncapped by implication. Second, the cap is three months of fees, not the market-standard twelve. On an SOW running at $50,000/month, that caps Vendor's exposure at $150,000 for any breach — including if their work product nukes Client's production environment. Third, there are zero carve-outs. As drafted, Vendor's IP infringement indemnity is also capped at three months — which is the entire point an IP indemnity exists to defeat. Fraud, gross negligence, willful misconduct, confidentiality breach, and data breach all sit inside the cap.</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7.1 EXCEPT AS SET FORTH IN §7.5, IN NO EVENT SHALL EITHER PARTY BE LIABLE TO THE OTHER FOR ANY INDIRECT, INCIDENTAL, SPECIAL, CONSEQUENTIAL, PUNITIVE, OR EXEMPLARY DAMAGES, INCLUDING DAMAGES FOR LOSS OF PROFITS, REVENUE, GOODWILL, DATA, OR BUSINESS OPPORTUNITIES, REGARDLESS OF WHETHER SUCH DAMAGES WERE FORESEEABLE OR WHETHER THE PARTY WAS ADVISED OF THE POSSIBILITY THEREOF.</w:t>
      </w:r>
    </w:p>
    <w:p>
      <w:pPr>
        <w:pStyle w:val="IntenseQuote"/>
        <w:pBdr>
          <w:left w:val="single" w:color="888888" w:sz="12" w:space="10"/>
        </w:pBdr>
        <w:spacing w:after="140"/>
        <w:ind w:left="720"/>
      </w:pPr>
      <w:r>
        <w:rPr>
          <w:i/>
          <w:iCs/>
        </w:rPr>
        <w:t xml:space="preserve">7.2 EXCEPT AS SET FORTH IN §7.5, EACH PARTY'S TOTAL AGGREGATE LIABILITY UNDER THIS AGREEMENT, WHETHER IN CONTRACT, TORT, OR OTHERWISE, SHALL NOT EXCEED THE FEES PAID OR PAYABLE BY CLIENT TO SERVICE PROVIDER UNDER THIS AGREEMENT DURING THE TWELVE (12) MONTH PERIOD IMMEDIATELY PRECEDING THE EVENT GIVING RISE TO THE CLAIM.</w:t>
      </w:r>
    </w:p>
    <w:p>
      <w:pPr>
        <w:pStyle w:val="IntenseQuote"/>
        <w:pBdr>
          <w:left w:val="single" w:color="888888" w:sz="12" w:space="10"/>
        </w:pBdr>
        <w:spacing w:after="140"/>
        <w:ind w:left="720"/>
      </w:pPr>
      <w:r>
        <w:rPr>
          <w:i/>
          <w:iCs/>
        </w:rPr>
        <w:t xml:space="preserve">7.5 EXCLUSIONS FROM LIMITATIONS. The limitations and exclusions in §7.1 and §7.2 shall not apply to: (a) a Party's indemnification obligations under §8; (b) breach of §5 (Confidentiality); (c) breach of any data protection or privacy obligations under this Agreement or any DPA executed hereunder; (d) gross negligence, willful misconduct, or fraud; (e) infringement or misappropriation of the other Party's intellectual property rights; or (f) Client's payment obligations for Services rendered.</w:t>
      </w:r>
    </w:p>
    <w:p>
      <w:pPr>
        <w:spacing w:after="60" w:before="100"/>
      </w:pPr>
      <w:r>
        <w:rPr>
          <w:b/>
          <w:bCs/>
        </w:rPr>
        <w:t xml:space="preserve">Fallback position:</w:t>
      </w:r>
    </w:p>
    <w:p>
      <w:pPr>
        <w:spacing w:after="120"/>
        <w:jc w:val="both"/>
      </w:pPr>
      <w:r>
        <w:t xml:space="preserve">We will accept a 12-month aggregate cap and the carve-outs above. We will not accept a cap below 12 months, will not accept a unilateral cap, and will not accept any version that puts indemnification or confidentiality breach inside the cap. If Vendor pushes hard on data-breach carve-out, accept a "super-cap" at 2x the general cap for that category.</w:t>
      </w:r>
    </w:p>
    <w:p>
      <w:pPr>
        <w:pStyle w:val="Heading3"/>
        <w:spacing w:after="140" w:before="240"/>
      </w:pPr>
      <w:r>
        <w:rPr>
          <w:b/>
          <w:bCs/>
        </w:rPr>
        <w:t xml:space="preserve">3.2 Indemnification Defense Control — §8.3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8.3 The indemnifying Party's obligations under this Section are contingent upon the indemnified Party: (a) providing prompt written notice of any claim; (b) granting sole control of the defense and settlement to the indemnifying Party; and (c) providing reasonable cooperation at the indemnifying Party's expense.</w:t>
      </w:r>
    </w:p>
    <w:p>
      <w:pPr>
        <w:spacing w:after="60" w:before="100"/>
      </w:pPr>
      <w:r>
        <w:rPr>
          <w:b/>
          <w:bCs/>
        </w:rPr>
        <w:t xml:space="preserve">Why it's a problem:</w:t>
      </w:r>
    </w:p>
    <w:p>
      <w:pPr>
        <w:spacing w:after="120"/>
        <w:jc w:val="both"/>
      </w:pPr>
      <w:r>
        <w:t xml:space="preserve">"Sole control of the defense and settlement" lets the indemnitor settle a claim in any way they like — including admitting liability, conceding facts that prejudice Client in other matters, accepting injunctions that bind Client's operations, or making public statements. The standard formulation requires the indemnitee's prior written consent for any settlement that imposes non-monetary obligations on the indemnitee or admits liability.</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8.3 The indemnifying Party's obligations under this Section are contingent upon the indemnified Party: (a) providing prompt written notice of any claim (provided that the failure to provide prompt notice shall relieve the indemnifying Party of its obligations only to the extent it is materially prejudiced thereby); (b) granting the indemnifying Party control of the defense and settlement of the claim; and (c) providing reasonable cooperation at the indemnifying Party's expense. The indemnified Party shall have the right to participate in the defense at its own expense with counsel of its choosing. The indemnifying Party shall not settle any claim without the indemnified Party's prior written consent (not to be unreasonably withheld) if the settlement (i) imposes any non-monetary obligation on the indemnified Party, (ii) does not include a full release of the indemnified Party, or (iii) admits any liability or wrongdoing on the part of the indemnified Party.</w:t>
      </w:r>
    </w:p>
    <w:p>
      <w:pPr>
        <w:spacing w:after="60" w:before="100"/>
      </w:pPr>
      <w:r>
        <w:rPr>
          <w:b/>
          <w:bCs/>
        </w:rPr>
        <w:t xml:space="preserve">Fallback position:</w:t>
      </w:r>
    </w:p>
    <w:p>
      <w:pPr>
        <w:spacing w:after="120"/>
        <w:jc w:val="both"/>
      </w:pPr>
      <w:r>
        <w:t xml:space="preserve">The participation right and the consent-to-settle gating items (i)–(iii) are non-negotiable. We can accept the "materially prejudiced" qualifier on notice cutting either way.</w:t>
      </w:r>
    </w:p>
    <w:p>
      <w:pPr>
        <w:pStyle w:val="Heading3"/>
        <w:spacing w:after="140" w:before="240"/>
      </w:pPr>
      <w:r>
        <w:rPr>
          <w:b/>
          <w:bCs/>
        </w:rPr>
        <w:t xml:space="preserve">3.3 Indemnification Scope — §8.1 — CRITICAL (in combination with §7.2)</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8.1 Service Provider shall indemnify, defend, and hold harmless Client and its officers, directors, employees, and agents from and against any and all claims, losses, damages, liabilities, costs, and expenses (including reasonable attorneys' fees) arising out of or related to: (a) Service Provider's gross negligence or willful misconduct; or (b) any claim that the Deliverables infringe upon a third party's intellectual property rights.</w:t>
      </w:r>
    </w:p>
    <w:p>
      <w:pPr>
        <w:spacing w:after="60" w:before="100"/>
      </w:pPr>
      <w:r>
        <w:rPr>
          <w:b/>
          <w:bCs/>
        </w:rPr>
        <w:t xml:space="preserve">Why it's a problem:</w:t>
      </w:r>
    </w:p>
    <w:p>
      <w:pPr>
        <w:spacing w:after="120"/>
        <w:jc w:val="both"/>
      </w:pPr>
      <w:r>
        <w:t xml:space="preserve">Two gaps. First, the indemnity does not cover breach of confidentiality, breach of data protection obligations, or breach of representations and warranties — all standard. Second, because §7 has no carve-outs, the IP infringement indemnity is functionally capped at three months of fees. An IP indemnity that is capped below the cost of defending a single patent lawsuit is theater.</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8.1 Service Provider shall indemnify, defend, and hold harmless Client and its officers, directors, employees, and agents from and against any and all third-party claims, losses, damages, liabilities, costs, and expenses (including reasonable attorneys' fees) arising out of or related to: (a) Service Provider's gross negligence, willful misconduct, or fraud; (b) any claim that the Services or Deliverables infringe or misappropriate any third party's intellectual property or proprietary rights; (c) breach by Service Provider of its confidentiality obligations under §5; (d) breach by Service Provider of any data protection or privacy obligations under this Agreement or any DPA executed hereunder; or (e) bodily injury, death, or damage to tangible personal property caused by the negligent acts or omissions of Service Provider's personnel.</w:t>
      </w:r>
    </w:p>
    <w:p>
      <w:pPr>
        <w:spacing w:after="60" w:before="100"/>
      </w:pPr>
      <w:r>
        <w:rPr>
          <w:b/>
          <w:bCs/>
        </w:rPr>
        <w:t xml:space="preserve">Fallback position:</w:t>
      </w:r>
    </w:p>
    <w:p>
      <w:pPr>
        <w:spacing w:after="120"/>
        <w:jc w:val="both"/>
      </w:pPr>
      <w:r>
        <w:t xml:space="preserve">Items (a), (b), and (e) are non-negotiable. (c) and (d) can be addressed via separate carve-outs from the cap (per §7.5 above) if Vendor refuses to put them in the indemnity.</w:t>
      </w:r>
    </w:p>
    <w:p>
      <w:pPr>
        <w:pStyle w:val="Heading3"/>
        <w:spacing w:after="140" w:before="240"/>
      </w:pPr>
      <w:r>
        <w:rPr>
          <w:b/>
          <w:bCs/>
        </w:rPr>
        <w:t xml:space="preserve">3.4 Termination for Convenience — §9.4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9.4 Client may terminate this Agreement for convenience upon one hundred eighty (180) days' prior written notice to Service Provider. In the event of such termination, Client shall pay Service Provider for: (a) all Services performed through the effective date of termination; (b) all non-cancellable expenses incurred by Service Provider; and (c) an early termination fee equal to twenty-five percent (25%) of the remaining fees under all active SOWs for the balance of their respective terms.</w:t>
      </w:r>
    </w:p>
    <w:p>
      <w:pPr>
        <w:spacing w:after="60" w:before="100"/>
      </w:pPr>
      <w:r>
        <w:rPr>
          <w:b/>
          <w:bCs/>
        </w:rPr>
        <w:t xml:space="preserve">Why it's a problem:</w:t>
      </w:r>
    </w:p>
    <w:p>
      <w:pPr>
        <w:spacing w:after="120"/>
        <w:jc w:val="both"/>
      </w:pPr>
      <w:r>
        <w:t xml:space="preserve">Six months of notice on a services contract is excessive. Add a 25% early termination fee on remaining SOW value and Client effectively cannot exit this agreement without writing a check that approaches the cost of just running it to expiration. This is also asymmetric — Vendor has multiple termination rights with no penalty, including immediate termination for non-payment under §9.3.</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9.4 Client may terminate this Agreement, or any individual SOW, for convenience upon thirty (30) days' prior written notice to Service Provider. In the event of such termination, Client shall pay Service Provider for: (a) all Services satisfactorily performed and accepted through the effective date of termination; and (b) all non-cancellable expenses actually incurred by Service Provider in reliance on the SOW that cannot reasonably be mitigated. No early termination fee shall be payable.</w:t>
      </w:r>
    </w:p>
    <w:p>
      <w:pPr>
        <w:spacing w:after="60" w:before="100"/>
      </w:pPr>
      <w:r>
        <w:rPr>
          <w:b/>
          <w:bCs/>
        </w:rPr>
        <w:t xml:space="preserve">Fallback position:</w:t>
      </w:r>
    </w:p>
    <w:p>
      <w:pPr>
        <w:spacing w:after="120"/>
        <w:jc w:val="both"/>
      </w:pPr>
      <w:r>
        <w:t xml:space="preserve">We will accept up to 60 days' notice. We will accept reimbursement of non-cancellable expenses on a documented basis. We will not accept any percentage-based early termination fee. If Vendor insists on something for unrecouped mobilization costs, cap it at actual documented mobilization costs not to exceed 5% of the first three months' fees.</w:t>
      </w:r>
    </w:p>
    <w:p>
      <w:pPr>
        <w:pStyle w:val="Heading3"/>
        <w:spacing w:after="140" w:before="240"/>
      </w:pPr>
      <w:r>
        <w:rPr>
          <w:b/>
          <w:bCs/>
        </w:rPr>
        <w:t xml:space="preserve">3.5 Annual Rate Increase — §3.3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3.3 Service Provider reserves the right to increase its standard hourly rates by up to 15% annually upon thirty (30) days' prior written notice to Client. Such increases shall apply to all SOWs then in effect unless otherwise agreed in writing.</w:t>
      </w:r>
    </w:p>
    <w:p>
      <w:pPr>
        <w:spacing w:after="60" w:before="100"/>
      </w:pPr>
      <w:r>
        <w:rPr>
          <w:b/>
          <w:bCs/>
        </w:rPr>
        <w:t xml:space="preserve">Why it's a problem:</w:t>
      </w:r>
    </w:p>
    <w:p>
      <w:pPr>
        <w:spacing w:after="120"/>
        <w:jc w:val="both"/>
      </w:pPr>
      <w:r>
        <w:t xml:space="preserve">A 15% annual escalator compounds to 52% over three years and 75% over four. Combined with the 180-day / 25% termination fee, Client cannot meaningfully push back. Rate increases should not apply to SOWs already in effect — those rates were the basis on which Client agreed to the project.</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3.3 Service Provider may adjust its standard hourly rates not more frequently than once per twelve (12) month period upon at least sixty (60) days' prior written notice to Client. Any such adjustment shall not exceed the lesser of (a) three percent (3%) or (b) the percentage increase in the Consumer Price Index for All Urban Consumers (CPI-U, U.S. City Average, All Items) for the most recent twelve (12) month period. Rate adjustments shall apply only to Services performed under SOWs executed after the effective date of the adjustment. Rates set forth in any executed SOW shall remain fixed for the duration of that SOW.</w:t>
      </w:r>
    </w:p>
    <w:p>
      <w:pPr>
        <w:spacing w:after="60" w:before="100"/>
      </w:pPr>
      <w:r>
        <w:rPr>
          <w:b/>
          <w:bCs/>
        </w:rPr>
        <w:t xml:space="preserve">Fallback position:</w:t>
      </w:r>
    </w:p>
    <w:p>
      <w:pPr>
        <w:spacing w:after="120"/>
        <w:jc w:val="both"/>
      </w:pPr>
      <w:r>
        <w:t xml:space="preserve">Cap at CPI or 4% (whichever is less). Annual frequency is non-negotiable. Locked-in SOW pricing is non-negotiable.</w:t>
      </w:r>
    </w:p>
    <w:p>
      <w:pPr>
        <w:pStyle w:val="Heading3"/>
        <w:spacing w:after="140" w:before="240"/>
      </w:pPr>
      <w:r>
        <w:rPr>
          <w:b/>
          <w:bCs/>
        </w:rPr>
        <w:t xml:space="preserve">3.6 IP "Residuals" Carve-Out — §4.3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4.3 Service Provider shall have the unrestricted right to use any general knowledge, skills, experience, ideas, concepts, techniques, and know-how acquired or developed during the performance of Services for any purpose, including for the benefit of other clients, provided that such use does not disclose Client's Confidential Information.</w:t>
      </w:r>
    </w:p>
    <w:p>
      <w:pPr>
        <w:spacing w:after="60" w:before="100"/>
      </w:pPr>
      <w:r>
        <w:rPr>
          <w:b/>
          <w:bCs/>
        </w:rPr>
        <w:t xml:space="preserve">Why it's a problem:</w:t>
      </w:r>
    </w:p>
    <w:p>
      <w:pPr>
        <w:spacing w:after="120"/>
        <w:jc w:val="both"/>
      </w:pPr>
      <w:r>
        <w:t xml:space="preserve">This is a residuals clause dressed up as a skills-retention clause. "Ideas, concepts, techniques, and know-how" is a vastly broader category than "general skills and experience" and effectively gives Vendor a license to reuse Client-funded methodologies and insights for direct competitors. The "does not disclose Confidential Information" proviso is illusory because residuals are typically used unconsciously and Vendor will argue the resulting work product is not "disclosure."</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4.3 Nothing in this Agreement shall restrict Service Provider's use of general skills, experience, and know-how of an unspecific nature, of the type generally retained in the unaided memory of its personnel, that do not embody, include, or rely upon Client's Confidential Information, Pre-Existing IP of Client, or any Deliverable. For the avoidance of doubt, this Section does not grant Service Provider any right to use, disclose, or exploit (a) any methodology, framework, deliverable, work product, or technical solution developed for Client under this Agreement, or (b) any ideas, concepts, or techniques first conceived in the course of performing Services for Client.</w:t>
      </w:r>
    </w:p>
    <w:p>
      <w:pPr>
        <w:spacing w:after="60" w:before="100"/>
      </w:pPr>
      <w:r>
        <w:rPr>
          <w:b/>
          <w:bCs/>
        </w:rPr>
        <w:t xml:space="preserve">Fallback position:</w:t>
      </w:r>
    </w:p>
    <w:p>
      <w:pPr>
        <w:spacing w:after="120"/>
        <w:jc w:val="both"/>
      </w:pPr>
      <w:r>
        <w:t xml:space="preserve">The "unaided memory" qualifier is the standard market position and is non-negotiable. We can negotiate the precise scope of (a) and (b) but not delete them.</w:t>
      </w:r>
    </w:p>
    <w:p>
      <w:pPr>
        <w:pStyle w:val="Heading3"/>
        <w:spacing w:after="140" w:before="240"/>
      </w:pPr>
      <w:r>
        <w:rPr>
          <w:b/>
          <w:bCs/>
        </w:rPr>
        <w:t xml:space="preserve">3.7 Missing Data Protection Terms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[No section in the Agreement addresses data protection, data classification, security standards, breach notification, sub-processors, cross-border data transfer, or data return/deletion.]</w:t>
      </w:r>
    </w:p>
    <w:p>
      <w:pPr>
        <w:spacing w:after="60" w:before="100"/>
      </w:pPr>
      <w:r>
        <w:rPr>
          <w:b/>
          <w:bCs/>
        </w:rPr>
        <w:t xml:space="preserve">Why it's a problem:</w:t>
      </w:r>
    </w:p>
    <w:p>
      <w:pPr>
        <w:spacing w:after="120"/>
        <w:jc w:val="both"/>
      </w:pPr>
      <w:r>
        <w:t xml:space="preserve">For a three-year MSA covering technology implementation services, the absence of data protection terms is not an oversight Client should accept silently. If Service Provider's personnel touch any Client systems, customer records, employee data, or production datasets, Client is exposed under state privacy laws (CCPA, NY SHIELD, others), industry frameworks (SOC 2, PCI), and any contractual flow-down obligations Client has to its own customers.</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Add new §13: To the extent Service Provider Processes any Client Data (as defined in Exhibit A — Data Processing Addendum) in connection with the Services, the Parties shall comply with the terms of Exhibit A. Service Provider shall (a) implement and maintain administrative, physical, and technical safeguards consistent with SOC 2 Type II or ISO/IEC 27001 standards; (b) notify Client in writing of any actual or reasonably suspected Security Incident affecting Client Data within seventy-two (72) hours of discovery; (c) not transfer Client Data outside the United States without Client's prior written consent and an appropriate transfer mechanism; and (d) upon termination of this Agreement, return or, at Client's election, securely destroy all Client Data and certify such return or destruction in writing within thirty (30) days.</w:t>
      </w:r>
    </w:p>
    <w:p>
      <w:pPr>
        <w:spacing w:after="60" w:before="100"/>
      </w:pPr>
      <w:r>
        <w:rPr>
          <w:b/>
          <w:bCs/>
        </w:rPr>
        <w:t xml:space="preserve">Fallback position:</w:t>
      </w:r>
    </w:p>
    <w:p>
      <w:pPr>
        <w:spacing w:after="120"/>
        <w:jc w:val="both"/>
      </w:pPr>
      <w:r>
        <w:t xml:space="preserve">The 72-hour breach notification, the SOC 2/ISO standard, and the data return/destruction obligation are non-negotiable. We can negotiate the cross-border transfer mechanism. If Vendor refuses a full DPA, at minimum extract these four points into §13 of the body.</w:t>
      </w:r>
    </w:p>
    <w:p>
      <w:pPr>
        <w:pStyle w:val="Heading3"/>
        <w:spacing w:after="140" w:before="240"/>
      </w:pPr>
      <w:r>
        <w:rPr>
          <w:b/>
          <w:bCs/>
        </w:rPr>
        <w:t xml:space="preserve">3.8 Missing Insurance Requirements — CRITICAL</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[No section in the Agreement requires Service Provider to maintain insurance.]</w:t>
      </w:r>
    </w:p>
    <w:p>
      <w:pPr>
        <w:spacing w:after="60" w:before="100"/>
      </w:pPr>
      <w:r>
        <w:rPr>
          <w:b/>
          <w:bCs/>
        </w:rPr>
        <w:t xml:space="preserve">Why it's a problem:</w:t>
      </w:r>
    </w:p>
    <w:p>
      <w:pPr>
        <w:spacing w:after="120"/>
        <w:jc w:val="both"/>
      </w:pPr>
      <w:r>
        <w:t xml:space="preserve">A liability cap is only as good as the insurance behind it. Without minimum insurance coverage, Client has no assurance Vendor can actually pay even the (currently abusive) capped amount, much less anything that gets carved out. For a tech-implementation MSA with a three-year term, market-standard coverage is non-negotiable.</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Add new §14: Throughout the Term and for two (2) years thereafter, Service Provider shall maintain, at its sole cost, the following insurance coverage from carriers rated A-/VIII or better by A.M. Best: (a) Commercial General Liability with limits of not less than $2,000,000 per occurrence and $5,000,000 aggregate; (b) Professional Liability/Errors &amp; Omissions with limits of not less than $5,000,000 per claim and aggregate; (c) Cyber Liability with limits of not less than $5,000,000 per claim and aggregate, including coverage for data breach response, regulatory defense, and third-party liability; (d) Workers' Compensation as required by applicable law and Employer's Liability with limits of not less than $1,000,000 per accident; and (e) if Service Provider performs Services on Client's premises or using Client's vehicles, Commercial Automobile Liability with limits of not less than $1,000,000 combined single limit. Service Provider shall name Client as an additional insured under (a), (c), and (e), shall provide certificates of insurance upon request, and shall provide thirty (30) days' prior written notice of any cancellation or material reduction in coverage.</w:t>
      </w:r>
    </w:p>
    <w:p>
      <w:pPr>
        <w:spacing w:after="60" w:before="100"/>
      </w:pPr>
      <w:r>
        <w:rPr>
          <w:b/>
          <w:bCs/>
        </w:rPr>
        <w:t xml:space="preserve">Fallback position:</w:t>
      </w:r>
    </w:p>
    <w:p>
      <w:pPr>
        <w:spacing w:after="120"/>
        <w:jc w:val="both"/>
      </w:pPr>
      <w:r>
        <w:t xml:space="preserve">The Cyber, E&amp;O, and CGL policies are non-negotiable. We can negotiate dollar amounts down to $1M/$3M for CGL and $3M/$3M for E&amp;O and Cyber on smaller engagements, but not below.</w:t>
      </w:r>
    </w:p>
    <w:p>
      <w:pPr>
        <w:pStyle w:val="Heading3"/>
        <w:spacing w:after="140" w:before="240"/>
      </w:pPr>
      <w:r>
        <w:rPr>
          <w:b/>
          <w:bCs/>
        </w:rPr>
        <w:t xml:space="preserve">3.9 Right of First Refusal on Services — §10.2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10.2 During the term of this Agreement and for a period of twelve (12) months following its termination or expiration, Client shall not engage any third party to perform services substantially similar to the Services described in any active SOW, within the geographic regions covered by such SOW, without first offering Service Provider the right of first refusal to perform such services on substantially similar terms.</w:t>
      </w:r>
    </w:p>
    <w:p>
      <w:pPr>
        <w:spacing w:after="60" w:before="100"/>
      </w:pPr>
      <w:r>
        <w:rPr>
          <w:b/>
          <w:bCs/>
        </w:rPr>
        <w:t xml:space="preserve">Why it's a problem:</w:t>
      </w:r>
    </w:p>
    <w:p>
      <w:pPr>
        <w:spacing w:after="120"/>
        <w:jc w:val="both"/>
      </w:pPr>
      <w:r>
        <w:t xml:space="preserve">This is a one-year post-termination non-compete imposed on Client. It is anti-competitive, likely unenforceable in several jurisdictions as applied to a customer (rather than an employee), and operationally it means Client cannot freely procure services it needs after the relationship ends. It also makes ordinary RFP processes legally fraught.</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10.2 [Intentionally deleted.]</w:t>
      </w:r>
    </w:p>
    <w:p>
      <w:pPr>
        <w:spacing w:after="60" w:before="100"/>
      </w:pPr>
      <w:r>
        <w:rPr>
          <w:b/>
          <w:bCs/>
        </w:rPr>
        <w:t xml:space="preserve">Fallback position:</w:t>
      </w:r>
    </w:p>
    <w:p>
      <w:pPr>
        <w:spacing w:after="120"/>
        <w:jc w:val="both"/>
      </w:pPr>
      <w:r>
        <w:t xml:space="preserve">Delete entirely. If Vendor refuses, narrow to: (i) only applies during the term, not post-termination; (ii) only applies to Services materially identical to those then being performed under an active SOW; (iii) "right of first refusal" replaced with "right to be invited to bid"; (iv) no obligation to accept Vendor's bid for any reason. Even with all four, this is a clause we should fight to delete.</w:t>
      </w:r>
    </w:p>
    <w:p>
      <w:pPr>
        <w:pStyle w:val="Heading3"/>
        <w:spacing w:after="140" w:before="240"/>
      </w:pPr>
      <w:r>
        <w:rPr>
          <w:b/>
          <w:bCs/>
        </w:rPr>
        <w:t xml:space="preserve">3.10 Mandatory Arbitration Without Injunctive Carve-Out — §11.2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11.2 Any dispute that cannot be resolved through negotiation shall be submitted to binding arbitration administered by the American Arbitration Association ("AAA") in accordance with its Commercial Arbitration Rules. The arbitration shall be conducted by a single arbitrator in New York, New York. The arbitrator's award shall be final and binding, and judgment upon the award may be entered in any court having jurisdiction thereof.</w:t>
      </w:r>
    </w:p>
    <w:p>
      <w:pPr>
        <w:spacing w:after="60" w:before="100"/>
      </w:pPr>
      <w:r>
        <w:rPr>
          <w:b/>
          <w:bCs/>
        </w:rPr>
        <w:t xml:space="preserve">Why it's a problem:</w:t>
      </w:r>
    </w:p>
    <w:p>
      <w:pPr>
        <w:spacing w:after="120"/>
        <w:jc w:val="both"/>
      </w:pPr>
      <w:r>
        <w:t xml:space="preserve">If Vendor walks off with Client's confidential information or starts using Client-funded methodology to pitch a competitor, Client needs to be able to file for a TRO or preliminary injunction in court immediately. Arbitration is too slow for that. Standard practice is a carve-out for equitable relief.</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11.2 Any dispute that cannot be resolved through negotiation shall be submitted to binding arbitration administered by the American Arbitration Association ("AAA") in accordance with its Commercial Arbitration Rules. The arbitration shall be conducted by a single arbitrator in New York, New York. The arbitrator's award shall be final and binding, and judgment upon the award may be entered in any court having jurisdiction thereof. Notwithstanding the foregoing, either Party may seek temporary, preliminary, or permanent injunctive or other equitable relief in any court of competent jurisdiction to protect its intellectual property rights, Confidential Information, or trade secrets, without first complying with the negotiation or arbitration requirements of this §11.</w:t>
      </w:r>
    </w:p>
    <w:p>
      <w:pPr>
        <w:spacing w:after="60" w:before="100"/>
      </w:pPr>
      <w:r>
        <w:rPr>
          <w:b/>
          <w:bCs/>
        </w:rPr>
        <w:t xml:space="preserve">Fallback position:</w:t>
      </w:r>
    </w:p>
    <w:p>
      <w:pPr>
        <w:spacing w:after="120"/>
        <w:jc w:val="both"/>
      </w:pPr>
      <w:r>
        <w:t xml:space="preserve">The injunctive carve-out is non-negotiable. We can negotiate venue (consider AAA hybrid with optional small-claim threshold for low-dollar disputes).</w:t>
      </w:r>
    </w:p>
    <w:p>
      <w:pPr>
        <w:pStyle w:val="Heading3"/>
        <w:spacing w:after="140" w:before="240"/>
      </w:pPr>
      <w:r>
        <w:rPr>
          <w:b/>
          <w:bCs/>
        </w:rPr>
        <w:t xml:space="preserve">3.11 Asymmetric Assignment — §12.4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12.4 Neither Party may assign this Agreement without the prior written consent of the other Party; provided, however, that Service Provider may assign this Agreement to an affiliate or in connection with a merger, acquisition, or sale of substantially all of its assets without Client's consent.</w:t>
      </w:r>
    </w:p>
    <w:p>
      <w:pPr>
        <w:spacing w:after="60" w:before="100"/>
      </w:pPr>
      <w:r>
        <w:rPr>
          <w:b/>
          <w:bCs/>
        </w:rPr>
        <w:t xml:space="preserve">Why it's a problem:</w:t>
      </w:r>
    </w:p>
    <w:p>
      <w:pPr>
        <w:spacing w:after="120"/>
        <w:jc w:val="both"/>
      </w:pPr>
      <w:r>
        <w:t xml:space="preserve">The assignment clause is one-way: Vendor can assign freely in M&amp;A and to affiliates; Client cannot. Worse, neither party gets a termination right if the other is acquired by a competitor. Client could find itself paying its biggest competitor for technology consulting.</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12.4 Neither Party may assign this Agreement, in whole or in part, without the prior written consent of the other Party (not to be unreasonably withheld); provided, however, that either Party may assign this Agreement to an affiliate or in connection with a merger, acquisition, reorganization, or sale of substantially all of its assets without the other Party's consent, except that no such assignment may be made to a direct competitor of the non-assigning Party. The non-assigning Party may terminate this Agreement upon thirty (30) days' written notice if the assigning Party undergoes a change of control to a direct competitor. Any attempted assignment in violation of this Section shall be void.</w:t>
      </w:r>
    </w:p>
    <w:p>
      <w:pPr>
        <w:spacing w:after="60" w:before="100"/>
      </w:pPr>
      <w:r>
        <w:rPr>
          <w:b/>
          <w:bCs/>
        </w:rPr>
        <w:t xml:space="preserve">Fallback position:</w:t>
      </w:r>
    </w:p>
    <w:p>
      <w:pPr>
        <w:spacing w:after="120"/>
        <w:jc w:val="both"/>
      </w:pPr>
      <w:r>
        <w:t xml:space="preserve">The mutuality and the change-of-control termination right are non-negotiable. The "direct competitor" carve-out language is standard.</w:t>
      </w:r>
    </w:p>
    <w:p>
      <w:pPr>
        <w:pStyle w:val="Heading3"/>
        <w:spacing w:after="140" w:before="240"/>
      </w:pPr>
      <w:r>
        <w:rPr>
          <w:b/>
          <w:bCs/>
        </w:rPr>
        <w:t xml:space="preserve">3.12 Payment Terms — §3.2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3.2 All invoices shall be due and payable within fifteen (15) calendar days of Client's receipt of a proper invoice. Late payments shall accrue interest at the rate of 2.5% per month, or the maximum rate permitted by applicable law, whichever is less.</w:t>
      </w:r>
    </w:p>
    <w:p>
      <w:pPr>
        <w:spacing w:after="60" w:before="100"/>
      </w:pPr>
      <w:r>
        <w:rPr>
          <w:b/>
          <w:bCs/>
        </w:rPr>
        <w:t xml:space="preserve">Why it's a problem:</w:t>
      </w:r>
    </w:p>
    <w:p>
      <w:pPr>
        <w:spacing w:after="120"/>
        <w:jc w:val="both"/>
      </w:pPr>
      <w:r>
        <w:t xml:space="preserve">Net-15 is aggressive — Net-30 to Net-45 is standard for B2B services. 2.5% per month is 30% annualized, well above market and possibly usurious in some jurisdictions when accelerated.</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3.2 All undisputed invoices shall be due and payable within forty-five (45) days of Client's receipt of a proper invoice. Late payments on undisputed amounts shall accrue interest at the rate of one percent (1%) per month or the maximum rate permitted by applicable law, whichever is less, beginning on the date that is thirty (30) days after the original due date.</w:t>
      </w:r>
    </w:p>
    <w:p>
      <w:pPr>
        <w:spacing w:after="60" w:before="100"/>
      </w:pPr>
      <w:r>
        <w:rPr>
          <w:b/>
          <w:bCs/>
        </w:rPr>
        <w:t xml:space="preserve">Fallback position:</w:t>
      </w:r>
    </w:p>
    <w:p>
      <w:pPr>
        <w:spacing w:after="120"/>
        <w:jc w:val="both"/>
      </w:pPr>
      <w:r>
        <w:t xml:space="preserve">Net-30 is acceptable. 1.5% per month is acceptable. Add explicit "undisputed" language — we should not be charged interest on amounts we have timely disputed under §3.5.</w:t>
      </w:r>
    </w:p>
    <w:p>
      <w:pPr>
        <w:pStyle w:val="Heading3"/>
        <w:spacing w:after="140" w:before="240"/>
      </w:pPr>
      <w:r>
        <w:rPr>
          <w:b/>
          <w:bCs/>
        </w:rPr>
        <w:t xml:space="preserve">3.13 Warranty Period — §6.1(c)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6.1 ... (c) the Deliverables will conform to the specifications set forth in the applicable SOW for a period of ninety (90) days following delivery...</w:t>
      </w:r>
    </w:p>
    <w:p>
      <w:pPr>
        <w:spacing w:after="60" w:before="100"/>
      </w:pPr>
      <w:r>
        <w:rPr>
          <w:b/>
          <w:bCs/>
        </w:rPr>
        <w:t xml:space="preserve">Why it's a problem:</w:t>
      </w:r>
    </w:p>
    <w:p>
      <w:pPr>
        <w:spacing w:after="120"/>
        <w:jc w:val="both"/>
      </w:pPr>
      <w:r>
        <w:t xml:space="preserve">A 90-day warranty on technology Deliverables is too short for defects that emerge under real-world load, integration, or scaling. Industry standard for tech services is 12 months. The clause also fails to specify the remedy — repair, re-perform, refund?</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6.1 ... (c) the Deliverables will conform in all material respects to the specifications set forth in the applicable SOW for a period of twelve (12) months following Client's acceptance. If any Deliverable fails to so conform during such warranty period, Service Provider shall, at its sole cost and as Client's sole and exclusive remedy for breach of this warranty (without prejudice to any other right or remedy under this Agreement), promptly (i) repair or re-perform the non-conforming Deliverable; or (ii) if repair or re-performance is not commercially reasonable within thirty (30) days, refund the fees paid for the non-conforming Deliverable.</w:t>
      </w:r>
    </w:p>
    <w:p>
      <w:pPr>
        <w:spacing w:after="60" w:before="100"/>
      </w:pPr>
      <w:r>
        <w:rPr>
          <w:b/>
          <w:bCs/>
        </w:rPr>
        <w:t xml:space="preserve">Fallback position:</w:t>
      </w:r>
    </w:p>
    <w:p>
      <w:pPr>
        <w:spacing w:after="120"/>
        <w:jc w:val="both"/>
      </w:pPr>
      <w:r>
        <w:t xml:space="preserve">Six months is the floor. The repair/re-perform/refund waterfall is standard and non-negotiable.</w:t>
      </w:r>
    </w:p>
    <w:p>
      <w:pPr>
        <w:pStyle w:val="Heading3"/>
        <w:spacing w:after="140" w:before="240"/>
      </w:pPr>
      <w:r>
        <w:rPr>
          <w:b/>
          <w:bCs/>
        </w:rPr>
        <w:t xml:space="preserve">3.14 Vendor Termination for Non-Payment — §9.3 vs. Client Termination Rights — HIGH</w:t>
      </w:r>
    </w:p>
    <w:p>
      <w:pPr>
        <w:spacing w:after="60" w:before="100"/>
      </w:pPr>
      <w:r>
        <w:rPr>
          <w:b/>
          <w:bCs/>
        </w:rPr>
        <w:t xml:space="preserve">Current language (quoted verbatim):</w:t>
      </w:r>
    </w:p>
    <w:p>
      <w:pPr>
        <w:pStyle w:val="IntenseQuote"/>
        <w:pBdr>
          <w:left w:val="single" w:color="888888" w:sz="12" w:space="10"/>
        </w:pBdr>
        <w:spacing w:after="140"/>
        <w:ind w:left="720"/>
      </w:pPr>
      <w:r>
        <w:rPr>
          <w:i/>
          <w:iCs/>
        </w:rPr>
        <w:t xml:space="preserve">9.3 Service Provider may terminate this Agreement or any SOW immediately upon written notice if Client fails to pay any undisputed amount within thirty (30) days after the applicable due date.</w:t>
      </w:r>
    </w:p>
    <w:p>
      <w:pPr>
        <w:spacing w:after="60" w:before="100"/>
      </w:pPr>
      <w:r>
        <w:rPr>
          <w:b/>
          <w:bCs/>
        </w:rPr>
        <w:t xml:space="preserve">Why it's a problem:</w:t>
      </w:r>
    </w:p>
    <w:p>
      <w:pPr>
        <w:spacing w:after="120"/>
        <w:jc w:val="both"/>
      </w:pPr>
      <w:r>
        <w:t xml:space="preserve">Service Provider gets an immediate termination right for non-payment, but Client has no parallel immediate right for repeated non-performance, repeated security failures, or other material breaches. Client's only termination right outside §9.4 (which is now expensive) is the §9.2 60-day cure path.</w:t>
      </w:r>
    </w:p>
    <w:p>
      <w:pPr>
        <w:spacing w:after="60" w:before="100"/>
      </w:pPr>
      <w:r>
        <w:rPr>
          <w:b/>
          <w:bCs/>
        </w:rPr>
        <w:t xml:space="preserve">Proposed redline (paste-ready):</w:t>
      </w:r>
    </w:p>
    <w:p>
      <w:pPr>
        <w:pStyle w:val="IntenseQuote"/>
        <w:pBdr>
          <w:left w:val="single" w:color="888888" w:sz="12" w:space="10"/>
        </w:pBdr>
        <w:spacing w:after="140"/>
        <w:ind w:left="720"/>
      </w:pPr>
      <w:r>
        <w:rPr>
          <w:i/>
          <w:iCs/>
        </w:rPr>
        <w:t xml:space="preserve">Add a new §9.6: Client may terminate this Agreement or any SOW immediately upon written notice if (a) Service Provider commits the same or substantially similar material breach more than once within any twelve (12) month period; (b) Service Provider experiences a Security Incident affecting Client Data that, in Client's reasonable judgment, materially impairs Service Provider's ability to provide the Services; (c) Service Provider becomes insolvent, files for bankruptcy, or has a receiver appointed; or (d) Service Provider undergoes a change of control to a direct competitor of Client.</w:t>
      </w:r>
    </w:p>
    <w:p>
      <w:pPr>
        <w:spacing w:after="60" w:before="100"/>
      </w:pPr>
      <w:r>
        <w:rPr>
          <w:b/>
          <w:bCs/>
        </w:rPr>
        <w:t xml:space="preserve">Fallback position:</w:t>
      </w:r>
    </w:p>
    <w:p>
      <w:pPr>
        <w:spacing w:after="120"/>
        <w:jc w:val="both"/>
      </w:pPr>
      <w:r>
        <w:t xml:space="preserve">(a), (c), and (d) are non-negotiable. (b) can be negotiated to add a short cure window for non-material incidents.</w:t>
      </w:r>
    </w:p>
    <w:p>
      <w:pPr>
        <w:pStyle w:val="Heading2"/>
        <w:spacing w:after="180" w:before="300"/>
      </w:pPr>
      <w:r>
        <w:rPr>
          <w:b/>
          <w:bCs/>
        </w:rPr>
        <w:t xml:space="preserve">4. Medium / Low Items</w:t>
      </w:r>
    </w:p>
    <w:p>
      <w:pPr>
        <w:pStyle w:val="ListParagraph"/>
        <w:numPr>
          <w:ilvl w:val="0"/>
          <w:numId w:val="2"/>
        </w:numPr>
        <w:spacing w:after="80"/>
      </w:pPr>
      <w:r>
        <w:t xml:space="preserve">§1.1 — Definition of "Confidential Information" should add "or that should reasonably be understood to be confidential given the nature of the information or the circumstances of disclosure" to capture unmarked-but-obvious confidential data.</w:t>
      </w:r>
    </w:p>
    <w:p>
      <w:pPr>
        <w:pStyle w:val="ListParagraph"/>
        <w:numPr>
          <w:ilvl w:val="0"/>
          <w:numId w:val="2"/>
        </w:numPr>
        <w:spacing w:after="80"/>
      </w:pPr>
      <w:r>
        <w:t xml:space="preserve">§3.4 — $500 expense pre-approval threshold is operationally annoying; raise to $1,500 or align to Client's standard expense policy.</w:t>
      </w:r>
    </w:p>
    <w:p>
      <w:pPr>
        <w:pStyle w:val="ListParagraph"/>
        <w:numPr>
          <w:ilvl w:val="0"/>
          <w:numId w:val="2"/>
        </w:numPr>
        <w:spacing w:after="80"/>
      </w:pPr>
      <w:r>
        <w:t xml:space="preserve">§5.1 — Add explicit obligation that Service Provider remains responsible for its subcontractors' confidentiality compliance.</w:t>
      </w:r>
    </w:p>
    <w:p>
      <w:pPr>
        <w:pStyle w:val="ListParagraph"/>
        <w:numPr>
          <w:ilvl w:val="0"/>
          <w:numId w:val="2"/>
        </w:numPr>
        <w:spacing w:after="80"/>
      </w:pPr>
      <w:r>
        <w:t xml:space="preserve">§5.4 — Add carve-out permitting one archival copy of Confidential Information retained for legal/regulatory compliance, subject to ongoing confidentiality obligations.</w:t>
      </w:r>
    </w:p>
    <w:p>
      <w:pPr>
        <w:pStyle w:val="ListParagraph"/>
        <w:numPr>
          <w:ilvl w:val="0"/>
          <w:numId w:val="2"/>
        </w:numPr>
        <w:spacing w:after="80"/>
      </w:pPr>
      <w:r>
        <w:t xml:space="preserve">§6.2 — Client's reps are bare-bones; that's actually fine for Client, but expect Vendor to ask for more.</w:t>
      </w:r>
    </w:p>
    <w:p>
      <w:pPr>
        <w:pStyle w:val="ListParagraph"/>
        <w:numPr>
          <w:ilvl w:val="0"/>
          <w:numId w:val="2"/>
        </w:numPr>
        <w:spacing w:after="80"/>
      </w:pPr>
      <w:r>
        <w:t xml:space="preserve">§9.5 — Surviving sections list omits §11 (Dispute Resolution); add it. Also confirm that any new §13 (Data Protection) and §14 (Insurance) are included.</w:t>
      </w:r>
    </w:p>
    <w:p>
      <w:pPr>
        <w:pStyle w:val="ListParagraph"/>
        <w:numPr>
          <w:ilvl w:val="0"/>
          <w:numId w:val="2"/>
        </w:numPr>
        <w:spacing w:after="80"/>
      </w:pPr>
      <w:r>
        <w:t xml:space="preserve">§11.3 — The "prevailing party gets fees" provision can backfire on Client if Client brings a weak claim; consider negotiating to "each party bears its own fees" as the cleaner default.</w:t>
      </w:r>
    </w:p>
    <w:p>
      <w:pPr>
        <w:pStyle w:val="ListParagraph"/>
        <w:numPr>
          <w:ilvl w:val="0"/>
          <w:numId w:val="2"/>
        </w:numPr>
        <w:spacing w:after="80"/>
      </w:pPr>
      <w:r>
        <w:t xml:space="preserve">§11.4 — Jury trial waiver appears mutual; acceptable in arbitration context.</w:t>
      </w:r>
    </w:p>
    <w:p>
      <w:pPr>
        <w:pStyle w:val="ListParagraph"/>
        <w:numPr>
          <w:ilvl w:val="0"/>
          <w:numId w:val="2"/>
        </w:numPr>
        <w:spacing w:after="80"/>
      </w:pPr>
      <w:r>
        <w:t xml:space="preserve">§12.5 — Force majeure should expressly carve out payment obligations (Client cannot escape paying for Services already rendered).</w:t>
      </w:r>
    </w:p>
    <w:p>
      <w:pPr>
        <w:pStyle w:val="ListParagraph"/>
        <w:numPr>
          <w:ilvl w:val="0"/>
          <w:numId w:val="2"/>
        </w:numPr>
        <w:spacing w:after="80"/>
      </w:pPr>
      <w:r>
        <w:t xml:space="preserve">§12.6 — Notice provision permits email; add a requirement that email notices to specified legal addresses be confirmed by overnight courier within two business days for breach/termination notices.</w:t>
      </w:r>
    </w:p>
    <w:p>
      <w:pPr>
        <w:pStyle w:val="Heading2"/>
        <w:spacing w:after="180" w:before="300"/>
      </w:pPr>
      <w:r>
        <w:rPr>
          <w:b/>
          <w:bCs/>
        </w:rPr>
        <w:t xml:space="preserve">5. Open Questions for the Business Team</w:t>
      </w:r>
    </w:p>
    <w:p>
      <w:pPr>
        <w:pStyle w:val="ListParagraph"/>
        <w:numPr>
          <w:ilvl w:val="0"/>
          <w:numId w:val="3"/>
        </w:numPr>
        <w:spacing w:after="80"/>
      </w:pPr>
      <w:r>
        <w:t xml:space="preserve">What is the expected annual run-rate of this MSA? The cap analysis is materially different at $300K/yr vs. $5M/yr. At higher run-rates we may need to push for a super-cap on data breach.</w:t>
      </w:r>
    </w:p>
    <w:p>
      <w:pPr>
        <w:pStyle w:val="ListParagraph"/>
        <w:numPr>
          <w:ilvl w:val="0"/>
          <w:numId w:val="3"/>
        </w:numPr>
        <w:spacing w:after="80"/>
      </w:pPr>
      <w:r>
        <w:t xml:space="preserve">Will Service Provider's personnel have access to Client's production systems, customer PII, employee data, financial systems, or any regulated data? If yes, the missing DPA becomes a hard gate, not a negotiable.</w:t>
      </w:r>
    </w:p>
    <w:p>
      <w:pPr>
        <w:pStyle w:val="ListParagraph"/>
        <w:numPr>
          <w:ilvl w:val="0"/>
          <w:numId w:val="3"/>
        </w:numPr>
        <w:spacing w:after="80"/>
      </w:pPr>
      <w:r>
        <w:t xml:space="preserve">Are there specific methodologies, frameworks, or technical artifacts Client expects to be created under this MSA that Client considers strategic IP? If yes, the §4.3 residuals issue is even more important — we may need explicit ownership statements in each SOW.</w:t>
      </w:r>
    </w:p>
    <w:p>
      <w:pPr>
        <w:pStyle w:val="ListParagraph"/>
        <w:numPr>
          <w:ilvl w:val="0"/>
          <w:numId w:val="3"/>
        </w:numPr>
        <w:spacing w:after="80"/>
      </w:pPr>
      <w:r>
        <w:t xml:space="preserve">Is there a known competitor list we should attach as a schedule for the §10 non-solicit, the §12.4 change-of-control, and the §9.6(d) competitor-termination provisions?</w:t>
      </w:r>
    </w:p>
    <w:p>
      <w:pPr>
        <w:pStyle w:val="ListParagraph"/>
        <w:numPr>
          <w:ilvl w:val="0"/>
          <w:numId w:val="3"/>
        </w:numPr>
        <w:spacing w:after="80"/>
      </w:pPr>
      <w:r>
        <w:t xml:space="preserve">Does Client have its own paper for tech implementation MSAs? If so, push to use Client's paper rather than redlining Vendor's. The volume of changes here approaches "easier to start over."</w:t>
      </w:r>
    </w:p>
    <w:p>
      <w:pPr>
        <w:pStyle w:val="ListParagraph"/>
        <w:numPr>
          <w:ilvl w:val="0"/>
          <w:numId w:val="3"/>
        </w:numPr>
        <w:spacing w:after="80"/>
      </w:pPr>
      <w:r>
        <w:t xml:space="preserve">What is Client's appetite for walking away? If meaningful, the bargaining position is much stronger and we can hold on the §7, §8, §9.4, and §3.3 critical items.</w:t>
      </w:r>
    </w:p>
    <w:p>
      <w:pPr>
        <w:pStyle w:val="Heading2"/>
        <w:spacing w:after="180" w:before="300"/>
      </w:pPr>
      <w:r>
        <w:rPr>
          <w:b/>
          <w:bCs/>
        </w:rPr>
        <w:t xml:space="preserve">6. Confidence Statement</w:t>
      </w:r>
    </w:p>
    <w:p>
      <w:pPr>
        <w:spacing w:after="120"/>
        <w:jc w:val="both"/>
      </w:pPr>
      <w:r>
        <w:t xml:space="preserve">Overall confidence in this review: 5/5 on the structural issues identified above.</w:t>
      </w:r>
    </w:p>
    <w:p>
      <w:pPr>
        <w:spacing w:after="60" w:before="100"/>
      </w:pPr>
      <w:r>
        <w:rPr>
          <w:b/>
          <w:bCs/>
        </w:rPr>
        <w:t xml:space="preserve">Areas of lower confidence:</w:t>
      </w:r>
    </w:p>
    <w:p>
      <w:pPr>
        <w:pStyle w:val="ListParagraph"/>
        <w:numPr>
          <w:ilvl w:val="0"/>
          <w:numId w:val="2"/>
        </w:numPr>
        <w:spacing w:after="80"/>
      </w:pPr>
      <w:r>
        <w:t xml:space="preserve">The cap dollar analysis depends on actual SOW values, which were not provided. The percentage and ratio recommendations stand regardless of dollar amount.</w:t>
      </w:r>
    </w:p>
    <w:p>
      <w:pPr>
        <w:pStyle w:val="ListParagraph"/>
        <w:numPr>
          <w:ilvl w:val="0"/>
          <w:numId w:val="2"/>
        </w:numPr>
        <w:spacing w:after="80"/>
      </w:pPr>
      <w:r>
        <w:t xml:space="preserve">Enforceability of §10.2 (right of first refusal) varies by jurisdiction; the recommendation to delete is correct regardless, but the "unenforceable" framing may not hold under New York law specifically — confirm with NY-licensed counsel before pleading unenforceability as a basis to refuse the clause.</w:t>
      </w:r>
    </w:p>
    <w:p>
      <w:pPr>
        <w:pStyle w:val="ListParagraph"/>
        <w:numPr>
          <w:ilvl w:val="0"/>
          <w:numId w:val="2"/>
        </w:numPr>
        <w:spacing w:after="80"/>
      </w:pPr>
      <w:r>
        <w:t xml:space="preserve">No SOWs, exhibits, or schedules were provided. Any document referenced as "Exhibit A," "Schedule 1," etc. needs to be reviewed before signature.</w:t>
      </w:r>
    </w:p>
    <w:p>
      <w:pPr>
        <w:pStyle w:val="ListParagraph"/>
        <w:numPr>
          <w:ilvl w:val="0"/>
          <w:numId w:val="2"/>
        </w:numPr>
        <w:spacing w:after="80"/>
      </w:pPr>
      <w:r>
        <w:t xml:space="preserve">I have not separately verified Apex Global Consulting Group's corporate good standing, insurance currently in force, or financial condition. Recommend standard counterparty diligence before signature.</w:t>
      </w:r>
    </w:p>
    <w:p>
      <w:pPr>
        <w:pStyle w:val="Heading2"/>
        <w:spacing w:after="180" w:before="300"/>
      </w:pPr>
      <w:r>
        <w:rPr>
          <w:b/>
          <w:bCs/>
        </w:rPr>
        <w:t xml:space="preserve">7. Pushback Pass — Issues I Almost Missed</w:t>
      </w:r>
    </w:p>
    <w:p>
      <w:pPr>
        <w:spacing w:after="120"/>
        <w:jc w:val="both"/>
      </w:pPr>
      <w:r>
        <w:t xml:space="preserve">On reread, three additional issues surfaced that a senior partner would catch:</w:t>
      </w:r>
    </w:p>
    <w:p>
      <w:pPr>
        <w:spacing w:after="140"/>
        <w:jc w:val="both"/>
      </w:pPr>
      <w:r>
        <w:rPr>
          <w:b/>
          <w:bCs/>
        </w:rPr>
        <w:t xml:space="preserve">(a) §3.5 dispute mechanism is a trap.</w:t>
      </w:r>
      <w:r>
        <w:t xml:space="preserve"> The clause requires Client to pay all undisputed amounts and notify of disputed amounts within ten business days. Combined with §9.3 (Vendor's immediate termination right for any unpaid undisputed amount after 30 days), Vendor could send an inflated invoice, refuse to negotiate, and threaten termination. Add to the redline: extend dispute notice window to 30 days; clarify that good-faith dispute under §3.5 tolls the 30-day clock under §9.3.</w:t>
      </w:r>
    </w:p>
    <w:p>
      <w:pPr>
        <w:spacing w:after="140"/>
        <w:jc w:val="both"/>
      </w:pPr>
      <w:r>
        <w:rPr>
          <w:b/>
          <w:bCs/>
        </w:rPr>
        <w:t xml:space="preserve">(b) §4.1 work-for-hire is potentially defective for non-standard categories.</w:t>
      </w:r>
      <w:r>
        <w:t xml:space="preserve"> "Work made for hire" under U.S. copyright law applies only to nine specific categories (17 U.S.C. §101). Software code and consulting Deliverables don't always fit. The §4.1 fallback assignment language is good, but the "to the fullest extent permitted by law" qualifier should be removed from the work-for-hire characterization (it's binary — either it qualifies or it doesn't). Recommend deleting the work-for-hire framing entirely and going straight to a present assignment of all right, title, and interest.</w:t>
      </w:r>
    </w:p>
    <w:p>
      <w:pPr>
        <w:spacing w:after="140"/>
        <w:jc w:val="both"/>
      </w:pPr>
      <w:r>
        <w:rPr>
          <w:b/>
          <w:bCs/>
        </w:rPr>
        <w:t xml:space="preserve">(c) §9.5 survival list omits §3 (Compensation).</w:t>
      </w:r>
      <w:r>
        <w:t xml:space="preserve"> Surviving sections list §§4, 5, 7, 8, 10, 11, 12 — but not §3. This means accrued and unpaid fees as of termination arguably are not collectible post-termination. This is presumably an oversight (and not in Vendor's interest either), but Client should not rely on a court to fix it. Add §3 to the survival list, limited to fees accrued prior to termination.</w:t>
      </w:r>
    </w:p>
    <w:p>
      <w:pPr>
        <w:spacing w:before="240"/>
      </w:pPr>
      <w:r>
        <w:t xml:space="preserve"/>
      </w:r>
    </w:p>
    <w:p>
      <w:pPr>
        <w:spacing w:before="200"/>
        <w:jc w:val="both"/>
      </w:pPr>
      <w:r>
        <w:rPr>
          <w:i/>
          <w:iCs/>
          <w:sz w:val="20"/>
          <w:szCs w:val="20"/>
        </w:rPr>
        <w:t xml:space="preserve">Prepared as a first-pass Tier 1 review. Not a substitute for a full negotiation cycle or outside-counsel opinion on novel or high-dollar terms. The document as drafted is a Service Provider form contract with above-average aggression on liability, payment, and termination terms; expect strong pushback on §7 and §9.4 in particular.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1F3864"/>
      <w:sz w:val="28"/>
      <w:szCs w:val="28"/>
    </w:rPr>
  </w:style>
  <w:style w:type="paragraph" w:styleId="Heading3">
    <w:name w:val="Heading 3"/>
    <w:basedOn w:val="Normal"/>
    <w:next w:val="Normal"/>
    <w:qFormat/>
    <w:pPr>
      <w:spacing w:after="120" w:before="240"/>
      <w:outlineLvl w:val="2"/>
    </w:pPr>
    <w:rPr>
      <w:rFonts w:ascii="Calibri" w:cs="Calibri" w:eastAsia="Calibri" w:hAnsi="Calibri"/>
      <w:b/>
      <w:bCs/>
      <w:color w:val="2E74B5"/>
      <w:sz w:val="24"/>
      <w:szCs w:val="24"/>
    </w:rPr>
  </w:style>
  <w:style w:type="paragraph" w:styleId="IntenseQuote">
    <w:name w:val="Intense Quote"/>
    <w:basedOn w:val="Normal"/>
    <w:next w:val="Normal"/>
    <w:pPr>
      <w:spacing w:after="140"/>
      <w:ind w:left="720"/>
    </w:pPr>
    <w:rPr>
      <w:i/>
      <w:iCs/>
      <w:color w:val="4040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Memo — Apex Global Consulting Group MSA</dc:title>
  <dc:creator>Contract Redline Review — Tier 1</dc:creator>
  <cp:lastModifiedBy>Un-named</cp:lastModifiedBy>
  <cp:revision>1</cp:revision>
  <dcterms:created xsi:type="dcterms:W3CDTF">2026-04-19T14:39:06.747Z</dcterms:created>
  <dcterms:modified xsi:type="dcterms:W3CDTF">2026-04-19T14:39:06.747Z</dcterms:modified>
</cp:coreProperties>
</file>

<file path=docProps/custom.xml><?xml version="1.0" encoding="utf-8"?>
<Properties xmlns="http://schemas.openxmlformats.org/officeDocument/2006/custom-properties" xmlns:vt="http://schemas.openxmlformats.org/officeDocument/2006/docPropsVTypes"/>
</file>