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left"/>
      </w:pPr>
      <w:r>
        <w:rPr>
          <w:b/>
          <w:bCs/>
          <w:color w:val="1F3864"/>
          <w:sz w:val="36"/>
          <w:szCs w:val="36"/>
        </w:rPr>
        <w:t xml:space="preserve">CITATION FORM-CHECK REPORT</w:t>
      </w:r>
    </w:p>
    <w:p>
      <w:pPr>
        <w:spacing w:after="240"/>
      </w:pPr>
      <w:r>
        <w:rPr>
          <w:i/>
          <w:iCs/>
          <w:color w:val="404040"/>
          <w:sz w:val="24"/>
          <w:szCs w:val="24"/>
        </w:rPr>
        <w:t xml:space="preserve">Bluebook 22nd Edition — form verification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7E6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Matter: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Beyel Brothers, Inc. v. Acme Stevedoring LLC (demo / illustrative)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7E6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Caption: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Beyel Brothers, Inc., Plaintiff, v. Acme Stevedoring LLC, Defendant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7E6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Docket / court: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No. 26-cv-0119 — S.D.N.Y.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7E6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Document verified: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Defendant's Reply in Support of Motion to Compel Arbitration (excerpt)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7E6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Filing deadline: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April 24, 2026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7E6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Style applied: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Bluepages (practitioner)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7E6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Local rule override: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None (S.D.N.Y. Local Civil Rules) — consulted BT2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7E6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Draft file: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Reply_MTC_Arbitration_v3.docx (v3; 2026-04-18; hash n/a — demo)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7E6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Drafting attorney: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Blake Beyel, Esq.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7E6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Verifying attorney: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Blake Beyel, Esq. (self-verification for demo)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7E6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Form-check period: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April 19, 2026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7E6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Protocol: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Citation Verification Protocol v1.1.0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7E6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Authority:</w:t>
            </w:r>
          </w:p>
        </w:tc>
        <w:tc>
          <w:tcPr>
            <w:tcW w:type="dxa" w:w="6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The Bluebook: A Uniform System of Citation (22nd ed. 2025). Findings anchored by rule or table number; Bluebook text is not reproduced.</w:t>
            </w:r>
          </w:p>
        </w:tc>
      </w:tr>
    </w:tbl>
    <w:p>
      <w:pPr>
        <w:pStyle w:val="Heading1"/>
        <w:spacing w:after="120" w:before="240"/>
      </w:pPr>
      <w:r>
        <w:rPr>
          <w:b/>
          <w:bCs/>
          <w:sz w:val="32"/>
          <w:szCs w:val="32"/>
        </w:rPr>
        <w:t xml:space="preserve">1.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Tier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Count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Percent of total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✓ CONFORMING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57.1%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▲ NEEDS CORRECTION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28.6%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CE4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✗ NON-CONFORMING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CE4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CE4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14.3%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Total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7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100%</w:t>
            </w:r>
          </w:p>
        </w:tc>
      </w:tr>
    </w:tbl>
    <w:p>
      <w:pPr>
        <w:spacing w:after="60" w:before="60"/>
      </w:pPr>
      <w:r>
        <w:t xml:space="preserve">Status: Draft not yet cleared for filing — one ✗ item and two ▲ items remain open.</w:t>
      </w:r>
    </w:p>
    <w:p>
      <w:pPr>
        <w:pStyle w:val="Heading1"/>
        <w:spacing w:after="120" w:before="240"/>
      </w:pPr>
      <w:r>
        <w:rPr>
          <w:b/>
          <w:bCs/>
          <w:sz w:val="32"/>
          <w:szCs w:val="32"/>
        </w:rPr>
        <w:t xml:space="preserve">2. Non-conforming citations (✗)</w:t>
      </w:r>
    </w:p>
    <w:p>
      <w:pPr>
        <w:spacing w:after="60" w:before="60"/>
      </w:pPr>
      <w:r>
        <w:t xml:space="preserve">The draft contains 1 citation that fails Bluebook 22e form in a manner that cannot be resolved by a drafting edit alone. Re-source, rewrite, or remove; any replacement must pass Stages 1-3.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100"/>
        <w:gridCol w:w="1100"/>
        <w:gridCol w:w="1400"/>
        <w:gridCol w:w="2200"/>
        <w:gridCol w:w="2160"/>
      </w:tblGrid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Citation as it appears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Rule(s) violated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Failure finding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Required action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dxa" w:w="2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See Jones v. Smith, at 215.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¶3, sent. 1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BB R. 10.1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Required components missing: no reporter volume, no reporter abbreviation, no first page, no court, no year. Short-form treatment under R. 10.9 is not available because there is no earlier full citation of Jones v. Smith in the draft.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Re-source the case, extract R. 10.1 components, and replace; or remove. Any replacement must be re-run through Stages 1-3.</w:t>
            </w:r>
          </w:p>
        </w:tc>
      </w:tr>
    </w:tbl>
    <w:p>
      <w:pPr>
        <w:pStyle w:val="Heading1"/>
        <w:spacing w:after="120" w:before="240"/>
      </w:pPr>
      <w:r>
        <w:rPr>
          <w:b/>
          <w:bCs/>
          <w:sz w:val="32"/>
          <w:szCs w:val="32"/>
        </w:rPr>
        <w:t xml:space="preserve">3. Citations needing correction (▲)</w:t>
      </w:r>
    </w:p>
    <w:p>
      <w:pPr>
        <w:spacing w:after="60" w:before="60"/>
      </w:pPr>
      <w:r>
        <w:t xml:space="preserve">The draft contains 2 citations that are traceable to a verifiable authority but deviate from Bluebook 22e form. Each must be corrected and re-verified before signature.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100"/>
        <w:gridCol w:w="1000"/>
        <w:gridCol w:w="1400"/>
        <w:gridCol w:w="2130"/>
        <w:gridCol w:w="2330"/>
      </w:tblGrid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Citation as it appears</w:t>
            </w:r>
          </w:p>
        </w:tc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Rule(s) implicated</w:t>
            </w:r>
          </w:p>
        </w:tc>
        <w:tc>
          <w:tcPr>
            <w:tcW w:type="dxa" w:w="213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Finding</w:t>
            </w:r>
          </w:p>
        </w:tc>
        <w:tc>
          <w:tcPr>
            <w:tcW w:type="dxa" w:w="233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Corrected form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dxa" w:w="2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See International Business Machines Corp. v. Papermaster, 2008 WL 4974508, at *4 (S.D.N.Y. 2008) (enforcing forum-selection clause within arbitration agreement).</w:t>
            </w:r>
          </w:p>
        </w:tc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¶2, sent. 1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BB R. 10.2.2; T6</w:t>
            </w:r>
          </w:p>
        </w:tc>
        <w:tc>
          <w:tcPr>
            <w:tcW w:type="dxa" w:w="213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Case-name words not abbreviated per T6: "International" (Int'l), "Business" (Bus.), "Machines" (Machs.), "Corporation" (Corp.). Case-name abbreviation is mandatory in citation form under R. 10.2.2.</w:t>
            </w:r>
          </w:p>
        </w:tc>
        <w:tc>
          <w:tcPr>
            <w:tcW w:type="dxa" w:w="233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See Int'l Bus. Machs. Corp. v. Papermaster, 2008 WL 4974508, at *4 (S.D.N.Y. 2008) (enforcing forum-selection clause within arbitration agreement).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dxa" w:w="2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Smith v. Jones, 45 F.3d 212, 218 (2d Cir. 2023) (to hold that forum-selection clauses should be enforced absent extraordinary circumstances).</w:t>
            </w:r>
          </w:p>
        </w:tc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¶2, sent. 2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BB R. 10.3.1; T1.1; R. 1.5; R. 10.6.1</w:t>
            </w:r>
          </w:p>
        </w:tc>
        <w:tc>
          <w:tcPr>
            <w:tcW w:type="dxa" w:w="213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(a) Reporter series "F.3d" is incorrect for a 2023 Federal Reporter decision; T1.1 requires "F.4th" following the 2021 series transition. (b) Explanatory parenthetical begins with infinitive "to hold"; R. 1.5 requires the present-participle form where the parenthetical paraphrases the holding.</w:t>
            </w:r>
          </w:p>
        </w:tc>
        <w:tc>
          <w:tcPr>
            <w:tcW w:type="dxa" w:w="233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Smith v. Jones, 45 F.4th 212, 218 (2d Cir. 2023) (holding that forum-selection clauses should be enforced absent extraordinary circumstances).</w:t>
            </w:r>
          </w:p>
        </w:tc>
      </w:tr>
    </w:tbl>
    <w:p>
      <w:pPr>
        <w:pStyle w:val="Heading1"/>
        <w:spacing w:after="120" w:before="240"/>
      </w:pPr>
      <w:r>
        <w:rPr>
          <w:b/>
          <w:bCs/>
          <w:sz w:val="32"/>
          <w:szCs w:val="32"/>
        </w:rPr>
        <w:t xml:space="preserve">4. Conforming citations (✓)</w:t>
      </w:r>
    </w:p>
    <w:p>
      <w:pPr>
        <w:spacing w:after="60" w:before="60"/>
      </w:pPr>
      <w:r>
        <w:t xml:space="preserve">4 citations passed every applicable Stage 3 test: #1, #2, #3, #7. See Appendix A for the per-citation table.</w:t>
      </w:r>
    </w:p>
    <w:p>
      <w:pPr>
        <w:pStyle w:val="Heading1"/>
        <w:spacing w:after="120" w:before="240"/>
      </w:pPr>
      <w:r>
        <w:rPr>
          <w:b/>
          <w:bCs/>
          <w:sz w:val="32"/>
          <w:szCs w:val="32"/>
        </w:rPr>
        <w:t xml:space="preserve">5. Aggregate form findings</w:t>
      </w:r>
    </w:p>
    <w:p>
      <w:pPr>
        <w:pStyle w:val="Heading2"/>
        <w:spacing w:after="100" w:before="200"/>
      </w:pPr>
      <w:r>
        <w:rPr>
          <w:b/>
          <w:bCs/>
          <w:sz w:val="26"/>
          <w:szCs w:val="26"/>
        </w:rPr>
        <w:t xml:space="preserve">5.1 Abbreviations (R. 10.2 / T6; R. 10.4 / T7; T10; T12; T13; T14; T16)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T6 case-name abbreviations: 1 item (citation #4). Highest-frequency category in this excerpt.</w:t>
      </w:r>
    </w:p>
    <w:p>
      <w:pPr>
        <w:pStyle w:val="Heading2"/>
        <w:spacing w:after="100" w:before="200"/>
      </w:pPr>
      <w:r>
        <w:rPr>
          <w:b/>
          <w:bCs/>
          <w:sz w:val="26"/>
          <w:szCs w:val="26"/>
        </w:rPr>
        <w:t xml:space="preserve">5.2 Reporter, court, and date (R. 10.3; R. 10.4; R. 10.5; T1.1; T1.3)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T1.1 reporter-series transition: 1 item (citation #5) — F.3d used where F.4th required for post-2021 Federal Reporter decisions.</w:t>
      </w:r>
    </w:p>
    <w:p>
      <w:pPr>
        <w:pStyle w:val="Heading2"/>
        <w:spacing w:after="100" w:before="200"/>
      </w:pPr>
      <w:r>
        <w:rPr>
          <w:b/>
          <w:bCs/>
          <w:sz w:val="26"/>
          <w:szCs w:val="26"/>
        </w:rPr>
        <w:t xml:space="preserve">5.3 Short forms and id. (R. 4; R. 10.9)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(none observed)</w:t>
      </w:r>
    </w:p>
    <w:p>
      <w:pPr>
        <w:pStyle w:val="Heading2"/>
        <w:spacing w:after="100" w:before="200"/>
      </w:pPr>
      <w:r>
        <w:rPr>
          <w:b/>
          <w:bCs/>
          <w:sz w:val="26"/>
          <w:szCs w:val="26"/>
        </w:rPr>
        <w:t xml:space="preserve">5.4 Introductory signals and ordering (R. 1.2; R. 1.3; R. 1.4; BP1.2)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(none observed)</w:t>
      </w:r>
    </w:p>
    <w:p>
      <w:pPr>
        <w:pStyle w:val="Heading2"/>
        <w:spacing w:after="100" w:before="200"/>
      </w:pPr>
      <w:r>
        <w:rPr>
          <w:b/>
          <w:bCs/>
          <w:sz w:val="26"/>
          <w:szCs w:val="26"/>
        </w:rPr>
        <w:t xml:space="preserve">5.5 Parentheticals (R. 1.5; R. 10.6)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Present-participle form: 1 item (citation #5) — "to hold" should be "holding."</w:t>
      </w:r>
    </w:p>
    <w:p>
      <w:pPr>
        <w:pStyle w:val="Heading2"/>
        <w:spacing w:after="100" w:before="200"/>
      </w:pPr>
      <w:r>
        <w:rPr>
          <w:b/>
          <w:bCs/>
          <w:sz w:val="26"/>
          <w:szCs w:val="26"/>
        </w:rPr>
        <w:t xml:space="preserve">5.6 Quotations (R. 5)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Quotation form: no findings. One quotation (citation #1) flagged for attorney source review; substantive fidelity is not a form rule.</w:t>
      </w:r>
    </w:p>
    <w:p>
      <w:pPr>
        <w:pStyle w:val="Heading2"/>
        <w:spacing w:after="100" w:before="200"/>
      </w:pPr>
      <w:r>
        <w:rPr>
          <w:b/>
          <w:bCs/>
          <w:sz w:val="26"/>
          <w:szCs w:val="26"/>
        </w:rPr>
        <w:t xml:space="preserve">5.7 Prior and subsequent history (R. 10.7; T8)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(none observed)</w:t>
      </w:r>
    </w:p>
    <w:p>
      <w:pPr>
        <w:pStyle w:val="Heading2"/>
        <w:spacing w:after="100" w:before="200"/>
      </w:pPr>
      <w:r>
        <w:rPr>
          <w:b/>
          <w:bCs/>
          <w:sz w:val="26"/>
          <w:szCs w:val="26"/>
        </w:rPr>
        <w:t xml:space="preserve">5.8 Capitalization in the text (R. 8; BP8)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(none observed)</w:t>
      </w:r>
    </w:p>
    <w:p>
      <w:pPr>
        <w:pStyle w:val="Heading1"/>
        <w:spacing w:after="120" w:before="240"/>
      </w:pPr>
      <w:r>
        <w:rPr>
          <w:b/>
          <w:bCs/>
          <w:sz w:val="32"/>
          <w:szCs w:val="32"/>
        </w:rPr>
        <w:t xml:space="preserve">6. Quotations flagged for attorney source review</w:t>
      </w:r>
    </w:p>
    <w:p>
      <w:pPr>
        <w:spacing w:after="60" w:before="60"/>
      </w:pPr>
      <w:r>
        <w:t xml:space="preserve">Citation #1 (Buckeye, 546 U.S. at 443) — "embodies the national policy favoring arbitration and places arbitration agreements on equal footing with all other contracts." Quotation form is conforming; drafting attorney must compare the quoted span against the opinion text before signature.</w:t>
      </w:r>
    </w:p>
    <w:p>
      <w:pPr>
        <w:pStyle w:val="Heading1"/>
        <w:spacing w:after="120" w:before="240"/>
      </w:pPr>
      <w:r>
        <w:rPr>
          <w:b/>
          <w:bCs/>
          <w:sz w:val="32"/>
          <w:szCs w:val="32"/>
        </w:rPr>
        <w:t xml:space="preserve">7. Corrective-action checklist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Re-source, rewrite, or remove citation #6 (See Jones v. Smith, at 215); re-run any replacement through Stages 1-3.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Correct citation #4 to abbreviate the party name per R. 10.2.2 / T6.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Correct citation #5 reporter series (F.3d → F.4th) and parenthetical form ("to hold" → "holding").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Reconcile the quotation at citation #1 against the opinion text (Buckeye, 546 U.S. at 443).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Recheck short-form and id. usage after any citation insertion or deletion (R. 4; R. 10.9).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Complete the Bluebook form-check drafting sign-off (checklist-template.md, back).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File this report and the signed drafting sign-off in the matter file.</w:t>
      </w:r>
    </w:p>
    <w:p>
      <w:pPr>
        <w:pStyle w:val="Heading1"/>
        <w:spacing w:after="120" w:before="240"/>
      </w:pPr>
      <w:r>
        <w:rPr>
          <w:b/>
          <w:bCs/>
          <w:sz w:val="32"/>
          <w:szCs w:val="32"/>
        </w:rPr>
        <w:t xml:space="preserve">8. Items requiring senior-counsel attention</w:t>
      </w:r>
    </w:p>
    <w:p>
      <w:pPr>
        <w:spacing w:after="60" w:before="60"/>
      </w:pPr>
      <w:r>
        <w:t xml:space="preserve">Citation #6 must be resolved before filing. If the underlying authority cannot be re-sourced (i.e., the case does not exist), the drafting attorney must remove the citation and any argument that rests on it. Flag to supervising attorney.</w:t>
      </w:r>
    </w:p>
    <w:p>
      <w:pPr>
        <w:pStyle w:val="Heading1"/>
        <w:spacing w:after="120" w:before="240"/>
      </w:pPr>
      <w:r>
        <w:rPr>
          <w:b/>
          <w:bCs/>
          <w:sz w:val="32"/>
          <w:szCs w:val="32"/>
        </w:rPr>
        <w:t xml:space="preserve">9. Drafting sign-off</w:t>
      </w:r>
    </w:p>
    <w:p>
      <w:pPr>
        <w:spacing w:after="60" w:before="60"/>
      </w:pPr>
      <w:r>
        <w:t xml:space="preserve">Executed only after every ✗ is resolved and every ▲ is corrected and re-verified. Full sign-off language appears on the back of checklist-template.md.</w:t>
      </w:r>
    </w:p>
    <w:p>
      <w:pPr>
        <w:spacing w:after="60" w:before="60"/>
      </w:pPr>
      <w:r>
        <w:rPr>
          <w:i/>
          <w:iCs/>
        </w:rPr>
        <w:t xml:space="preserve">I confirm that the form of the citations in the document identified above has been verified against the Twenty-Second Edition of The Bluebook: A Uniform System of Citation, and that no citation remaining in the document is flagged ✗ or ▲ at the time of this signature.</w:t>
      </w:r>
    </w:p>
    <w:p>
      <w:pPr>
        <w:spacing w:after="60" w:before="60"/>
      </w:pPr>
      <w:r>
        <w:t xml:space="preserve">Style applied: Bluepages (practitioner)</w:t>
      </w:r>
    </w:p>
    <w:p>
      <w:pPr>
        <w:spacing w:after="60" w:before="60"/>
      </w:pPr>
      <w:r>
        <w:t xml:space="preserve"> </w:t>
      </w:r>
    </w:p>
    <w:p>
      <w:pPr>
        <w:spacing w:after="60" w:before="60"/>
      </w:pPr>
      <w:r>
        <w:t xml:space="preserve">Drafting / supervising attorney: ______________________________________</w:t>
      </w:r>
    </w:p>
    <w:p>
      <w:pPr>
        <w:spacing w:after="60" w:before="60"/>
      </w:pPr>
      <w:r>
        <w:t xml:space="preserve"> </w:t>
      </w:r>
    </w:p>
    <w:p>
      <w:pPr>
        <w:spacing w:after="60" w:before="60"/>
      </w:pPr>
      <w:r>
        <w:t xml:space="preserve">Bar number / jurisdiction: _________________________________</w:t>
      </w:r>
    </w:p>
    <w:p>
      <w:pPr>
        <w:spacing w:after="60" w:before="60"/>
      </w:pPr>
      <w:r>
        <w:t xml:space="preserve"> </w:t>
      </w:r>
    </w:p>
    <w:p>
      <w:pPr>
        <w:spacing w:after="60" w:before="60"/>
      </w:pPr>
      <w:r>
        <w:t xml:space="preserve">Signature: ___________________________  Date: ______________</w:t>
      </w:r>
    </w:p>
    <w:p>
      <w:r>
        <w:br w:type="page"/>
      </w:r>
    </w:p>
    <w:p>
      <w:pPr>
        <w:pStyle w:val="Heading1"/>
        <w:spacing w:after="120" w:before="240"/>
      </w:pPr>
      <w:r>
        <w:rPr>
          <w:b/>
          <w:bCs/>
          <w:sz w:val="32"/>
          <w:szCs w:val="32"/>
        </w:rPr>
        <w:t xml:space="preserve">Appendix A — Per-citation verification table</w:t>
      </w:r>
    </w:p>
    <w:p>
      <w:pPr>
        <w:spacing w:after="60" w:before="60"/>
      </w:pPr>
      <w:r>
        <w:t xml:space="preserve">Columns mark each Stage 3 test as ✓ (pass), ▲ (correction needed), ✗ (non-conforming), or N/A (test does not apply to this citation type).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200"/>
        <w:gridCol w:w="800"/>
        <w:gridCol w:w="500"/>
        <w:gridCol w:w="5460"/>
      </w:tblGrid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Citation (as it appears)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Tier</w:t>
            </w:r>
          </w:p>
        </w:tc>
        <w:tc>
          <w:tcPr>
            <w:tcW w:type="dxa" w:w="5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Applicable-test results / finding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Buckeye Check Cashing, Inc. v. Cardegna, 546 U.S. 440, 443 (2006)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Case (full)</w:t>
            </w:r>
          </w:p>
        </w:tc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✓</w:t>
            </w:r>
          </w:p>
        </w:tc>
        <w:tc>
          <w:tcPr>
            <w:tcW w:type="dxa" w:w="5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Components ✓ · Abbrev ✓ · Reporter ✓ · Court/Yr ✓ · Pin ✓ · Quote form ✓ · Caps ✓. Quotation substantive match flagged for attorney review.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9 U.S.C. § 2 (2018) [See also]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Statute</w:t>
            </w:r>
          </w:p>
        </w:tc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✓</w:t>
            </w:r>
          </w:p>
        </w:tc>
        <w:tc>
          <w:tcPr>
            <w:tcW w:type="dxa" w:w="5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Components ✓ · Abbrev ✓ · Pin ✓ · Signal ✓ (See also, correct for additional support). Caps ✓.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Moses H. Cone Mem'l Hosp. v. Mercury Constr. Corp., 460 U.S. 1, 24-25 (1983)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Case (full)</w:t>
            </w:r>
          </w:p>
        </w:tc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✓</w:t>
            </w:r>
          </w:p>
        </w:tc>
        <w:tc>
          <w:tcPr>
            <w:tcW w:type="dxa" w:w="5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Components ✓ · Abbrev ✓ (Mem'l, Constr., Corp. per T6) · Reporter ✓ · Court/Yr ✓ · Pin ✓ (drop-digits per R. 3.2(a)) · Caps ✓.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See International Business Machines Corp. v. Papermaster, 2008 WL 4974508, at *4 (S.D.N.Y. 2008) (enforcing ...)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Case (full, unreported)</w:t>
            </w:r>
          </w:p>
        </w:tc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▲</w:t>
            </w:r>
          </w:p>
        </w:tc>
        <w:tc>
          <w:tcPr>
            <w:tcW w:type="dxa" w:w="5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Components ✓ · Abbrev ▲ (BB R. 10.2.2; T6) · Reporter ✓ (WL form for unreported) · Court/Yr ✓ · Pin ✓ (at *4 per R. 10.8.1) · Signal ✓ · Parenthetical ✓ (present-participle "enforcing").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Smith v. Jones, 45 F.3d 212, 218 (2d Cir. 2023) (to hold ...)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Case (full)</w:t>
            </w:r>
          </w:p>
        </w:tc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▲</w:t>
            </w:r>
          </w:p>
        </w:tc>
        <w:tc>
          <w:tcPr>
            <w:tcW w:type="dxa" w:w="5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Components ✓ · Abbrev ✓ · Reporter ▲ (F.3d vs F.4th per BB R. 10.3.1; T1.1) · Court/Yr ✓ · Pin ✓ · Parenthetical ▲ (infinitive vs present participle per BB R. 1.5).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CE4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See Jones v. Smith, at 215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Case (short?) </w:t>
            </w:r>
          </w:p>
        </w:tc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CE4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✗</w:t>
            </w:r>
          </w:p>
        </w:tc>
        <w:tc>
          <w:tcPr>
            <w:tcW w:type="dxa" w:w="5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Components ✗ (BB R. 10.1: no volume, reporter, first page, court, year). Short form under R. 10.9 unavailable (no earlier full citation). Re-source, rewrite, or remove.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Buckeye, 546 U.S. at 445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Case (short)</w:t>
            </w:r>
          </w:p>
        </w:tc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✓</w:t>
            </w:r>
          </w:p>
        </w:tc>
        <w:tc>
          <w:tcPr>
            <w:tcW w:type="dxa" w:w="5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Proper short form under R. 10.9 (one party name, volume, reporter, "at," pin). Refers back to #1 properly.</w:t>
            </w:r>
          </w:p>
        </w:tc>
      </w:tr>
    </w:tbl>
    <w:p>
      <w:pPr>
        <w:pStyle w:val="Heading1"/>
        <w:spacing w:after="120" w:before="240"/>
      </w:pPr>
      <w:r>
        <w:rPr>
          <w:b/>
          <w:bCs/>
          <w:sz w:val="32"/>
          <w:szCs w:val="32"/>
        </w:rPr>
        <w:t xml:space="preserve">Appendix B — Rule-map log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3000"/>
        <w:gridCol w:w="1960"/>
        <w:gridCol w:w="2500"/>
        <w:gridCol w:w="1500"/>
      </w:tblGrid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Citation</w:t>
            </w:r>
          </w:p>
        </w:tc>
        <w:tc>
          <w:tcPr>
            <w:tcW w:type="dxa" w:w="1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2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Governing rule(s)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Pin-cite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Buckeye, 546 U.S. 440, 443 (2006)</w:t>
            </w:r>
          </w:p>
        </w:tc>
        <w:tc>
          <w:tcPr>
            <w:tcW w:type="dxa" w:w="1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Case (full; U.S. Reports)</w:t>
            </w:r>
          </w:p>
        </w:tc>
        <w:tc>
          <w:tcPr>
            <w:tcW w:type="dxa" w:w="2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BP10; R. 10.1; R. 10.3; R. 10.4; R. 10.5; R. 5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BB BP10; R. 5; T1.1; T6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9 U.S.C. § 2 (2018)</w:t>
            </w:r>
          </w:p>
        </w:tc>
        <w:tc>
          <w:tcPr>
            <w:tcW w:type="dxa" w:w="1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Federal statute</w:t>
            </w:r>
          </w:p>
        </w:tc>
        <w:tc>
          <w:tcPr>
            <w:tcW w:type="dxa" w:w="2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BP12; R. 12.3; R. 1.2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BB BP12; R. 12.3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Moses H. Cone, 460 U.S. 1, 24-25 (1983)</w:t>
            </w:r>
          </w:p>
        </w:tc>
        <w:tc>
          <w:tcPr>
            <w:tcW w:type="dxa" w:w="1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Case (full; U.S. Reports)</w:t>
            </w:r>
          </w:p>
        </w:tc>
        <w:tc>
          <w:tcPr>
            <w:tcW w:type="dxa" w:w="2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BP10; R. 10; R. 3.2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BB BP10; R. 3.2; T6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Int'l Bus. Machs. Corp. v. Papermaster, 2008 WL 4974508 (S.D.N.Y. 2008)</w:t>
            </w:r>
          </w:p>
        </w:tc>
        <w:tc>
          <w:tcPr>
            <w:tcW w:type="dxa" w:w="1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Case (full; unreported/WL)</w:t>
            </w:r>
          </w:p>
        </w:tc>
        <w:tc>
          <w:tcPr>
            <w:tcW w:type="dxa" w:w="2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BP10; R. 10.2.2; R. 10.8.1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BB R. 10.2.2; R. 10.8.1; T6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Smith v. Jones, 45 F.3d 212 (2d Cir. 2023)</w:t>
            </w:r>
          </w:p>
        </w:tc>
        <w:tc>
          <w:tcPr>
            <w:tcW w:type="dxa" w:w="1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Case (full; Federal Reporter)</w:t>
            </w:r>
          </w:p>
        </w:tc>
        <w:tc>
          <w:tcPr>
            <w:tcW w:type="dxa" w:w="2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BP10; R. 10.3.1; R. 1.5; R. 10.6.1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BB R. 10.3.1; R. 1.5; T1.1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See Jones v. Smith, at 215</w:t>
            </w:r>
          </w:p>
        </w:tc>
        <w:tc>
          <w:tcPr>
            <w:tcW w:type="dxa" w:w="1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Case (short/malformed)</w:t>
            </w:r>
          </w:p>
        </w:tc>
        <w:tc>
          <w:tcPr>
            <w:tcW w:type="dxa" w:w="2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R. 10.1 (required components)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BB R. 10.1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Buckeye, 546 U.S. at 445</w:t>
            </w:r>
          </w:p>
        </w:tc>
        <w:tc>
          <w:tcPr>
            <w:tcW w:type="dxa" w:w="1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Case (short)</w:t>
            </w:r>
          </w:p>
        </w:tc>
        <w:tc>
          <w:tcPr>
            <w:tcW w:type="dxa" w:w="2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R. 10.9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BB R. 10.9</w:t>
            </w:r>
          </w:p>
        </w:tc>
      </w:tr>
    </w:tbl>
    <w:p>
      <w:pPr>
        <w:spacing w:before="360"/>
      </w:pPr>
      <w:r>
        <w:rPr>
          <w:i/>
          <w:iCs/>
          <w:color w:val="595959"/>
          <w:sz w:val="18"/>
          <w:szCs w:val="18"/>
        </w:rPr>
        <w:t xml:space="preserve">Protocol: Citation Verification Protocol v1.1.0. MIT-licensed. Reviewed annually or upon issuance of a new Bluebook edition. This report records form-checking against Bluebook 22e only; it does not attest to the substantive accuracy of any authority cited in the filing. Attorney work product prepared in anticipation of filing.</w:t>
      </w:r>
    </w:p>
    <w:sectPr>
      <w:headerReference w:type="default" r:id="rId7"/>
      <w:footerReference w:type="default" r:id="rId8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95959"/>
        <w:sz w:val="16"/>
        <w:szCs w:val="16"/>
      </w:rPr>
      <w:t xml:space="preserve">Beyel v. Acme (demo) — Citation Form-Check Report — Page </w:t>
    </w:r>
    <w:r>
      <w:rPr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6"/>
        <w:szCs w:val="16"/>
      </w:rPr>
      <w:t xml:space="preserve"> of </w:t>
    </w:r>
    <w:r>
      <w:rPr>
        <w:color w:val="59595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</w:pPr>
    <w:r>
      <w:rPr>
        <w:b/>
        <w:bCs/>
        <w:color w:val="B22222"/>
        <w:sz w:val="18"/>
        <w:szCs w:val="18"/>
      </w:rPr>
      <w:t xml:space="preserve">ATTORNEY WORK PRODUCT</w:t>
    </w:r>
    <w:r>
      <w:rPr>
        <w:b/>
        <w:bCs/>
        <w:color w:val="B22222"/>
        <w:sz w:val="18"/>
        <w:szCs w:val="18"/>
      </w:rPr>
      <w:t xml:space="preserve">	PRIVILEGED &amp;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Calibri" w:cs="Calibri" w:eastAsia="Calibri" w:hAnsi="Calibri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Calibri" w:cs="Calibri" w:eastAsia="Calibri" w:hAnsi="Calibri"/>
      <w:b/>
      <w:bCs/>
      <w:color w:val="1F3864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Calibri" w:cs="Calibri" w:eastAsia="Calibri" w:hAnsi="Calibri"/>
      <w:b/>
      <w:bCs/>
      <w:color w:val="2E74B5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Citation Form-Check Report — Beyel v. Acme (demo)</dc:title>
  <dc:creator>Citation Verification Protocol</dc:creator>
  <cp:lastModifiedBy>Un-named</cp:lastModifiedBy>
  <cp:revision>1</cp:revision>
  <dcterms:created xsi:type="dcterms:W3CDTF">2026-04-19T16:29:04.121Z</dcterms:created>
  <dcterms:modified xsi:type="dcterms:W3CDTF">2026-04-19T16:29:04.121Z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